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6765" w:rsidRPr="00A2099F" w:rsidRDefault="00A2099F">
      <w:pPr>
        <w:pStyle w:val="normal"/>
        <w:rPr>
          <w:b/>
          <w:noProof/>
        </w:rPr>
      </w:pPr>
      <w:r w:rsidRPr="00A2099F">
        <w:rPr>
          <w:b/>
          <w:noProof/>
        </w:rPr>
        <w:t>Materiały do przeprowadzenia wyceny wyknania zabudowy stoisk wraz z pełnym serwisem</w:t>
      </w:r>
    </w:p>
    <w:p w:rsidR="00A2099F" w:rsidRDefault="00A2099F" w:rsidP="00A2099F">
      <w:r w:rsidRPr="00A2099F">
        <w:rPr>
          <w:b/>
          <w:bCs/>
        </w:rPr>
        <w:t xml:space="preserve">Promowane produkty marki </w:t>
      </w:r>
      <w:r w:rsidRPr="00A2099F">
        <w:rPr>
          <w:b/>
        </w:rPr>
        <w:t xml:space="preserve">Millennium </w:t>
      </w:r>
      <w:proofErr w:type="spellStart"/>
      <w:r w:rsidRPr="00A2099F">
        <w:rPr>
          <w:b/>
        </w:rPr>
        <w:t>Chocolate</w:t>
      </w:r>
      <w:proofErr w:type="spellEnd"/>
      <w:r w:rsidRPr="00A2099F">
        <w:rPr>
          <w:b/>
        </w:rPr>
        <w:t xml:space="preserve"> </w:t>
      </w:r>
      <w:proofErr w:type="spellStart"/>
      <w:r w:rsidRPr="00A2099F">
        <w:rPr>
          <w:b/>
        </w:rPr>
        <w:t>Factory</w:t>
      </w:r>
      <w:proofErr w:type="spellEnd"/>
    </w:p>
    <w:p w:rsidR="00A2099F" w:rsidRDefault="00A2099F">
      <w:pPr>
        <w:pStyle w:val="normal"/>
        <w:rPr>
          <w:noProof/>
        </w:rPr>
      </w:pPr>
    </w:p>
    <w:p w:rsidR="00A2099F" w:rsidRDefault="00A2099F">
      <w:pPr>
        <w:pStyle w:val="normal"/>
        <w:rPr>
          <w:noProof/>
        </w:rPr>
      </w:pP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 xml:space="preserve">1. Cel i Zakres </w:t>
      </w:r>
    </w:p>
    <w:p w:rsidR="006F6765" w:rsidRDefault="006F6765" w:rsidP="006F6765">
      <w:r w:rsidRPr="0008261E">
        <w:t xml:space="preserve">Przedmiotem </w:t>
      </w:r>
      <w:r>
        <w:t xml:space="preserve">oszacowania jest </w:t>
      </w:r>
      <w:r w:rsidRPr="0008261E">
        <w:t>zaprojektowani</w:t>
      </w:r>
      <w:r>
        <w:t>e</w:t>
      </w:r>
      <w:r w:rsidRPr="0008261E">
        <w:t xml:space="preserve"> i wykonani</w:t>
      </w:r>
      <w:r>
        <w:t>e</w:t>
      </w:r>
      <w:r w:rsidRPr="0008261E">
        <w:t xml:space="preserve"> </w:t>
      </w:r>
      <w:r>
        <w:t>25</w:t>
      </w:r>
      <w:r w:rsidRPr="0008261E">
        <w:t xml:space="preserve"> unikalnych stoisk wystawienniczych o powierzchni </w:t>
      </w:r>
      <w:r>
        <w:t>9-12</w:t>
      </w:r>
      <w:r w:rsidRPr="0008261E">
        <w:t xml:space="preserve"> </w:t>
      </w:r>
      <w:proofErr w:type="spellStart"/>
      <w:r w:rsidRPr="0008261E">
        <w:t>m²</w:t>
      </w:r>
      <w:proofErr w:type="spellEnd"/>
      <w:r w:rsidRPr="0008261E">
        <w:t xml:space="preserve"> każde. Stoisko ma wyróżniać markę </w:t>
      </w:r>
      <w:r>
        <w:t xml:space="preserve">Millennium </w:t>
      </w:r>
      <w:proofErr w:type="spellStart"/>
      <w:r>
        <w:t>Chocolate</w:t>
      </w:r>
      <w:proofErr w:type="spellEnd"/>
      <w:r>
        <w:t xml:space="preserve"> </w:t>
      </w:r>
      <w:proofErr w:type="spellStart"/>
      <w:r>
        <w:t>Factory</w:t>
      </w:r>
      <w:proofErr w:type="spellEnd"/>
      <w:r w:rsidRPr="0008261E">
        <w:t>, przyciągać uwagę odwiedzających na międzynarodowych wydarzeniach targowych i spełniać wymogi zrównoważonego rozwoju. Oferent zobowiązany jest do dostosowania projektu i wykonania stoiska do lokalnych przepisów i wymogów organizatora każdego wydarzenia.</w:t>
      </w:r>
    </w:p>
    <w:p w:rsidR="00A2099F" w:rsidRDefault="00A2099F" w:rsidP="006F6765"/>
    <w:p w:rsidR="001D213A" w:rsidRDefault="001D213A" w:rsidP="001D213A">
      <w:pPr>
        <w:spacing w:before="100" w:beforeAutospacing="1" w:after="100" w:afterAutospacing="1" w:line="240" w:lineRule="auto"/>
        <w:rPr>
          <w:b/>
        </w:rPr>
      </w:pPr>
      <w:r w:rsidRPr="001D213A">
        <w:rPr>
          <w:b/>
        </w:rPr>
        <w:t xml:space="preserve">WAŻNE! </w:t>
      </w:r>
    </w:p>
    <w:p w:rsidR="001D213A" w:rsidRPr="001D213A" w:rsidRDefault="001D213A" w:rsidP="001D213A">
      <w:pPr>
        <w:spacing w:before="100" w:beforeAutospacing="1" w:after="100" w:afterAutospacing="1" w:line="240" w:lineRule="auto"/>
        <w:rPr>
          <w:rFonts w:eastAsia="Times New Roman"/>
          <w:b/>
        </w:rPr>
      </w:pPr>
      <w:r w:rsidRPr="001D213A">
        <w:rPr>
          <w:b/>
        </w:rPr>
        <w:t xml:space="preserve">Pierwszym </w:t>
      </w:r>
      <w:proofErr w:type="spellStart"/>
      <w:r w:rsidRPr="001D213A">
        <w:rPr>
          <w:b/>
        </w:rPr>
        <w:t>stoiskiem,który</w:t>
      </w:r>
      <w:proofErr w:type="spellEnd"/>
      <w:r w:rsidRPr="001D213A">
        <w:rPr>
          <w:b/>
        </w:rPr>
        <w:t xml:space="preserve"> należy zaprojektować i wykonać od początku jest stoisko dla </w:t>
      </w:r>
      <w:r w:rsidRPr="001D213A">
        <w:rPr>
          <w:rFonts w:eastAsia="Times New Roman"/>
          <w:b/>
        </w:rPr>
        <w:t xml:space="preserve">ISM </w:t>
      </w:r>
      <w:proofErr w:type="spellStart"/>
      <w:r w:rsidRPr="001D213A">
        <w:rPr>
          <w:rFonts w:eastAsia="Times New Roman"/>
          <w:b/>
        </w:rPr>
        <w:t>Cologne</w:t>
      </w:r>
      <w:proofErr w:type="spellEnd"/>
      <w:r w:rsidRPr="001D213A">
        <w:rPr>
          <w:rFonts w:eastAsia="Times New Roman"/>
          <w:b/>
        </w:rPr>
        <w:t xml:space="preserve">, Niemcy 2026 </w:t>
      </w:r>
    </w:p>
    <w:p w:rsidR="001D213A" w:rsidRDefault="001D213A" w:rsidP="006F6765"/>
    <w:p w:rsidR="006F6765" w:rsidRPr="006F6765" w:rsidRDefault="006F6765" w:rsidP="006F6765">
      <w:pPr>
        <w:pStyle w:val="Akapitzlist"/>
        <w:rPr>
          <w:b/>
          <w:bCs/>
        </w:rPr>
      </w:pP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2. Lokalizacje Wydarzeń Targowych</w:t>
      </w:r>
    </w:p>
    <w:p w:rsidR="006F6765" w:rsidRPr="004E67D5" w:rsidRDefault="006F6765" w:rsidP="006F6765">
      <w:pPr>
        <w:spacing w:before="100" w:beforeAutospacing="1" w:after="100" w:afterAutospacing="1" w:line="240" w:lineRule="auto"/>
        <w:outlineLvl w:val="2"/>
        <w:rPr>
          <w:rFonts w:ascii="Calibri" w:eastAsia="Times New Roman" w:hAnsi="Calibri" w:cs="Calibri"/>
          <w:b/>
          <w:bCs/>
        </w:rPr>
      </w:pPr>
      <w:r w:rsidRPr="003B11CA">
        <w:rPr>
          <w:rFonts w:ascii="Calibri" w:eastAsia="Times New Roman" w:hAnsi="Calibri" w:cs="Calibri"/>
          <w:b/>
          <w:bCs/>
        </w:rPr>
        <w:t>ROK 2026</w:t>
      </w:r>
    </w:p>
    <w:p w:rsidR="006F6765" w:rsidRDefault="006F6765" w:rsidP="006F6765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ISM </w:t>
      </w:r>
      <w:proofErr w:type="spellStart"/>
      <w:r w:rsidRPr="004E67D5">
        <w:rPr>
          <w:rFonts w:ascii="Calibri" w:eastAsia="Times New Roman" w:hAnsi="Calibri" w:cs="Calibri"/>
        </w:rPr>
        <w:t>Cologne</w:t>
      </w:r>
      <w:proofErr w:type="spellEnd"/>
      <w:r w:rsidRPr="004E67D5">
        <w:rPr>
          <w:rFonts w:ascii="Calibri" w:eastAsia="Times New Roman" w:hAnsi="Calibri" w:cs="Calibri"/>
        </w:rPr>
        <w:t xml:space="preserve">, Niemcy 2026 </w:t>
      </w:r>
    </w:p>
    <w:p w:rsidR="00072B7D" w:rsidRPr="003B11CA" w:rsidRDefault="00072B7D" w:rsidP="00072B7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ISM Tokyo, Japonia 2026 </w:t>
      </w:r>
    </w:p>
    <w:p w:rsidR="00072B7D" w:rsidRPr="003B11CA" w:rsidRDefault="00072B7D" w:rsidP="00072B7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APAS Sao Paulo, Brazylia 2026 </w:t>
      </w:r>
    </w:p>
    <w:p w:rsidR="00072B7D" w:rsidRPr="00072B7D" w:rsidRDefault="00072B7D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proofErr w:type="spellStart"/>
      <w:r w:rsidRPr="00072B7D">
        <w:rPr>
          <w:rFonts w:ascii="Calibri" w:hAnsi="Calibri" w:cs="Calibri"/>
        </w:rPr>
        <w:t>Fine</w:t>
      </w:r>
      <w:proofErr w:type="spellEnd"/>
      <w:r w:rsidRPr="00072B7D">
        <w:rPr>
          <w:rFonts w:ascii="Calibri" w:hAnsi="Calibri" w:cs="Calibri"/>
        </w:rPr>
        <w:t xml:space="preserve"> </w:t>
      </w:r>
      <w:proofErr w:type="spellStart"/>
      <w:r w:rsidRPr="00072B7D">
        <w:rPr>
          <w:rFonts w:ascii="Calibri" w:hAnsi="Calibri" w:cs="Calibri"/>
        </w:rPr>
        <w:t>Food</w:t>
      </w:r>
      <w:proofErr w:type="spellEnd"/>
      <w:r w:rsidRPr="00072B7D">
        <w:rPr>
          <w:rFonts w:ascii="Calibri" w:hAnsi="Calibri" w:cs="Calibri"/>
        </w:rPr>
        <w:t>, Melbourne, Australia 2026</w:t>
      </w:r>
    </w:p>
    <w:p w:rsidR="006F6765" w:rsidRPr="00072B7D" w:rsidRDefault="006F6765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072B7D">
        <w:rPr>
          <w:rFonts w:ascii="Calibri" w:eastAsia="Times New Roman" w:hAnsi="Calibri" w:cs="Calibri"/>
        </w:rPr>
        <w:t xml:space="preserve">ISM </w:t>
      </w:r>
      <w:proofErr w:type="spellStart"/>
      <w:r w:rsidRPr="00072B7D">
        <w:rPr>
          <w:rFonts w:ascii="Calibri" w:eastAsia="Times New Roman" w:hAnsi="Calibri" w:cs="Calibri"/>
        </w:rPr>
        <w:t>Dubaj</w:t>
      </w:r>
      <w:proofErr w:type="spellEnd"/>
      <w:r w:rsidRPr="00072B7D">
        <w:rPr>
          <w:rFonts w:ascii="Calibri" w:eastAsia="Times New Roman" w:hAnsi="Calibri" w:cs="Calibri"/>
        </w:rPr>
        <w:t xml:space="preserve">, ZEA 2026 </w:t>
      </w:r>
    </w:p>
    <w:p w:rsidR="006F6765" w:rsidRPr="003B11CA" w:rsidRDefault="006F6765" w:rsidP="006F6765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SIAL </w:t>
      </w:r>
      <w:proofErr w:type="spellStart"/>
      <w:r w:rsidRPr="004E67D5">
        <w:rPr>
          <w:rFonts w:ascii="Calibri" w:eastAsia="Times New Roman" w:hAnsi="Calibri" w:cs="Calibri"/>
        </w:rPr>
        <w:t>Paris</w:t>
      </w:r>
      <w:proofErr w:type="spellEnd"/>
      <w:r w:rsidRPr="004E67D5">
        <w:rPr>
          <w:rFonts w:ascii="Calibri" w:eastAsia="Times New Roman" w:hAnsi="Calibri" w:cs="Calibri"/>
        </w:rPr>
        <w:t xml:space="preserve">, Francja 2026 </w:t>
      </w:r>
    </w:p>
    <w:p w:rsidR="00072B7D" w:rsidRPr="00072B7D" w:rsidRDefault="006F6765" w:rsidP="00072B7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b/>
          <w:bCs/>
        </w:rPr>
      </w:pPr>
      <w:proofErr w:type="spellStart"/>
      <w:r w:rsidRPr="004E67D5">
        <w:rPr>
          <w:rFonts w:ascii="Calibri" w:eastAsia="Times New Roman" w:hAnsi="Calibri" w:cs="Calibri"/>
        </w:rPr>
        <w:t>Food</w:t>
      </w:r>
      <w:proofErr w:type="spellEnd"/>
      <w:r w:rsidRPr="004E67D5">
        <w:rPr>
          <w:rFonts w:ascii="Calibri" w:eastAsia="Times New Roman" w:hAnsi="Calibri" w:cs="Calibri"/>
        </w:rPr>
        <w:t xml:space="preserve"> </w:t>
      </w:r>
      <w:proofErr w:type="spellStart"/>
      <w:r w:rsidRPr="004E67D5">
        <w:rPr>
          <w:rFonts w:ascii="Calibri" w:eastAsia="Times New Roman" w:hAnsi="Calibri" w:cs="Calibri"/>
        </w:rPr>
        <w:t>Africa</w:t>
      </w:r>
      <w:proofErr w:type="spellEnd"/>
      <w:r w:rsidRPr="004E67D5">
        <w:rPr>
          <w:rFonts w:ascii="Calibri" w:eastAsia="Times New Roman" w:hAnsi="Calibri" w:cs="Calibri"/>
        </w:rPr>
        <w:t xml:space="preserve">, Kair, Egipt 2026 </w:t>
      </w:r>
    </w:p>
    <w:p w:rsidR="006F6765" w:rsidRPr="004E67D5" w:rsidRDefault="006F6765" w:rsidP="00072B7D">
      <w:pPr>
        <w:spacing w:before="100" w:beforeAutospacing="1" w:after="100" w:afterAutospacing="1" w:line="240" w:lineRule="auto"/>
        <w:ind w:left="720"/>
        <w:rPr>
          <w:rFonts w:ascii="Calibri" w:eastAsia="Times New Roman" w:hAnsi="Calibri" w:cs="Calibri"/>
          <w:b/>
          <w:bCs/>
        </w:rPr>
      </w:pPr>
      <w:r w:rsidRPr="003B11CA">
        <w:rPr>
          <w:rFonts w:ascii="Calibri" w:eastAsia="Times New Roman" w:hAnsi="Calibri" w:cs="Calibri"/>
          <w:b/>
          <w:bCs/>
        </w:rPr>
        <w:t>ROK 2027</w:t>
      </w:r>
    </w:p>
    <w:p w:rsidR="006F6765" w:rsidRDefault="006F6765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lang w:eastAsia="pl-PL"/>
        </w:rPr>
      </w:pPr>
      <w:r w:rsidRPr="003B11CA">
        <w:rPr>
          <w:rFonts w:ascii="Calibri" w:eastAsia="Times New Roman" w:hAnsi="Calibri" w:cs="Calibri"/>
          <w:lang w:eastAsia="pl-PL"/>
        </w:rPr>
        <w:t xml:space="preserve">ISM </w:t>
      </w:r>
      <w:proofErr w:type="spellStart"/>
      <w:r w:rsidRPr="003B11CA">
        <w:rPr>
          <w:rFonts w:ascii="Calibri" w:eastAsia="Times New Roman" w:hAnsi="Calibri" w:cs="Calibri"/>
          <w:lang w:eastAsia="pl-PL"/>
        </w:rPr>
        <w:t>Cologne</w:t>
      </w:r>
      <w:proofErr w:type="spellEnd"/>
      <w:r w:rsidRPr="003B11CA">
        <w:rPr>
          <w:rFonts w:ascii="Calibri" w:eastAsia="Times New Roman" w:hAnsi="Calibri" w:cs="Calibri"/>
          <w:lang w:eastAsia="pl-PL"/>
        </w:rPr>
        <w:t xml:space="preserve">, Niemcy 2027 </w:t>
      </w:r>
    </w:p>
    <w:p w:rsidR="00072B7D" w:rsidRDefault="00072B7D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ISM Tokyo, Japan 2027</w:t>
      </w:r>
    </w:p>
    <w:p w:rsidR="00072B7D" w:rsidRPr="003B11CA" w:rsidRDefault="00072B7D" w:rsidP="00072B7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APAS Sao Paulo, Brazylia 2027 </w:t>
      </w:r>
    </w:p>
    <w:p w:rsidR="00072B7D" w:rsidRPr="003B11CA" w:rsidRDefault="00072B7D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Sweet &amp; Snack Indianapolis, USA 2027</w:t>
      </w:r>
    </w:p>
    <w:p w:rsidR="006F6765" w:rsidRPr="003B11CA" w:rsidRDefault="006F6765" w:rsidP="006F6765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ISM </w:t>
      </w:r>
      <w:proofErr w:type="spellStart"/>
      <w:r w:rsidRPr="004E67D5">
        <w:rPr>
          <w:rFonts w:ascii="Calibri" w:eastAsia="Times New Roman" w:hAnsi="Calibri" w:cs="Calibri"/>
        </w:rPr>
        <w:t>Dubaj</w:t>
      </w:r>
      <w:proofErr w:type="spellEnd"/>
      <w:r w:rsidRPr="004E67D5">
        <w:rPr>
          <w:rFonts w:ascii="Calibri" w:eastAsia="Times New Roman" w:hAnsi="Calibri" w:cs="Calibri"/>
        </w:rPr>
        <w:t xml:space="preserve">, ZEA 2027 </w:t>
      </w:r>
    </w:p>
    <w:p w:rsidR="00072B7D" w:rsidRPr="003B11CA" w:rsidRDefault="00072B7D" w:rsidP="00072B7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ANUGA </w:t>
      </w:r>
      <w:proofErr w:type="spellStart"/>
      <w:r w:rsidRPr="004E67D5">
        <w:rPr>
          <w:rFonts w:ascii="Calibri" w:eastAsia="Times New Roman" w:hAnsi="Calibri" w:cs="Calibri"/>
        </w:rPr>
        <w:t>Cologne</w:t>
      </w:r>
      <w:proofErr w:type="spellEnd"/>
      <w:r w:rsidRPr="004E67D5">
        <w:rPr>
          <w:rFonts w:ascii="Calibri" w:eastAsia="Times New Roman" w:hAnsi="Calibri" w:cs="Calibri"/>
        </w:rPr>
        <w:t xml:space="preserve">, Niemcy 2027 </w:t>
      </w:r>
    </w:p>
    <w:p w:rsidR="006F6765" w:rsidRPr="004E67D5" w:rsidRDefault="006F6765" w:rsidP="006F6765">
      <w:pPr>
        <w:spacing w:before="100" w:beforeAutospacing="1" w:after="100" w:afterAutospacing="1" w:line="240" w:lineRule="auto"/>
        <w:outlineLvl w:val="2"/>
        <w:rPr>
          <w:rFonts w:ascii="Calibri" w:eastAsia="Times New Roman" w:hAnsi="Calibri" w:cs="Calibri"/>
          <w:b/>
          <w:bCs/>
        </w:rPr>
      </w:pPr>
      <w:r w:rsidRPr="003B11CA">
        <w:rPr>
          <w:rFonts w:ascii="Calibri" w:eastAsia="Times New Roman" w:hAnsi="Calibri" w:cs="Calibri"/>
          <w:b/>
          <w:bCs/>
        </w:rPr>
        <w:t>ROK 2028</w:t>
      </w:r>
    </w:p>
    <w:p w:rsidR="00072B7D" w:rsidRDefault="006F6765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lang w:eastAsia="pl-PL"/>
        </w:rPr>
      </w:pPr>
      <w:r w:rsidRPr="003B11CA">
        <w:rPr>
          <w:rFonts w:ascii="Calibri" w:eastAsia="Times New Roman" w:hAnsi="Calibri" w:cs="Calibri"/>
          <w:lang w:eastAsia="pl-PL"/>
        </w:rPr>
        <w:t xml:space="preserve">ISM </w:t>
      </w:r>
      <w:proofErr w:type="spellStart"/>
      <w:r w:rsidRPr="003B11CA">
        <w:rPr>
          <w:rFonts w:ascii="Calibri" w:eastAsia="Times New Roman" w:hAnsi="Calibri" w:cs="Calibri"/>
          <w:lang w:eastAsia="pl-PL"/>
        </w:rPr>
        <w:t>Cologne</w:t>
      </w:r>
      <w:proofErr w:type="spellEnd"/>
      <w:r w:rsidRPr="003B11CA">
        <w:rPr>
          <w:rFonts w:ascii="Calibri" w:eastAsia="Times New Roman" w:hAnsi="Calibri" w:cs="Calibri"/>
          <w:lang w:eastAsia="pl-PL"/>
        </w:rPr>
        <w:t>, Niemcy 2028</w:t>
      </w:r>
    </w:p>
    <w:p w:rsidR="00072B7D" w:rsidRPr="003B11CA" w:rsidRDefault="00072B7D" w:rsidP="00072B7D">
      <w:pPr>
        <w:pStyle w:val="Akapitzlist"/>
        <w:numPr>
          <w:ilvl w:val="0"/>
          <w:numId w:val="15"/>
        </w:numPr>
        <w:spacing w:after="200" w:line="276" w:lineRule="auto"/>
        <w:rPr>
          <w:rFonts w:ascii="Calibri" w:hAnsi="Calibri" w:cs="Calibri"/>
        </w:rPr>
      </w:pPr>
      <w:r w:rsidRPr="003B11CA">
        <w:rPr>
          <w:rFonts w:ascii="Calibri" w:hAnsi="Calibri" w:cs="Calibri"/>
        </w:rPr>
        <w:t>SIAL, China 2028</w:t>
      </w:r>
    </w:p>
    <w:p w:rsidR="00072B7D" w:rsidRDefault="006F6765" w:rsidP="00072B7D">
      <w:pPr>
        <w:pStyle w:val="Akapitzlist"/>
        <w:numPr>
          <w:ilvl w:val="0"/>
          <w:numId w:val="15"/>
        </w:numPr>
        <w:spacing w:after="200" w:line="276" w:lineRule="auto"/>
        <w:rPr>
          <w:rFonts w:ascii="Calibri" w:hAnsi="Calibri" w:cs="Calibri"/>
        </w:rPr>
      </w:pPr>
      <w:r w:rsidRPr="003B11CA">
        <w:rPr>
          <w:rFonts w:ascii="Calibri" w:eastAsia="Times New Roman" w:hAnsi="Calibri" w:cs="Calibri"/>
          <w:lang w:eastAsia="pl-PL"/>
        </w:rPr>
        <w:t xml:space="preserve"> </w:t>
      </w:r>
      <w:r w:rsidR="00072B7D" w:rsidRPr="003B11CA">
        <w:rPr>
          <w:rFonts w:ascii="Calibri" w:hAnsi="Calibri" w:cs="Calibri"/>
        </w:rPr>
        <w:t xml:space="preserve">APAS Sao Paulo, </w:t>
      </w:r>
      <w:proofErr w:type="spellStart"/>
      <w:r w:rsidR="00072B7D" w:rsidRPr="003B11CA">
        <w:rPr>
          <w:rFonts w:ascii="Calibri" w:hAnsi="Calibri" w:cs="Calibri"/>
        </w:rPr>
        <w:t>Brazil</w:t>
      </w:r>
      <w:proofErr w:type="spellEnd"/>
      <w:r w:rsidR="00072B7D" w:rsidRPr="003B11CA">
        <w:rPr>
          <w:rFonts w:ascii="Calibri" w:hAnsi="Calibri" w:cs="Calibri"/>
        </w:rPr>
        <w:t xml:space="preserve"> 2028</w:t>
      </w:r>
    </w:p>
    <w:p w:rsidR="00072B7D" w:rsidRPr="00072B7D" w:rsidRDefault="006F6765" w:rsidP="00072B7D">
      <w:pPr>
        <w:pStyle w:val="Akapitzlist"/>
        <w:numPr>
          <w:ilvl w:val="0"/>
          <w:numId w:val="15"/>
        </w:numPr>
        <w:spacing w:after="200" w:line="276" w:lineRule="auto"/>
        <w:rPr>
          <w:rFonts w:ascii="Calibri" w:hAnsi="Calibri" w:cs="Calibri"/>
        </w:rPr>
      </w:pPr>
      <w:r w:rsidRPr="00072B7D">
        <w:rPr>
          <w:rFonts w:ascii="Calibri" w:eastAsia="Times New Roman" w:hAnsi="Calibri" w:cs="Calibri"/>
        </w:rPr>
        <w:t xml:space="preserve">ISM </w:t>
      </w:r>
      <w:proofErr w:type="spellStart"/>
      <w:r w:rsidRPr="00072B7D">
        <w:rPr>
          <w:rFonts w:ascii="Calibri" w:eastAsia="Times New Roman" w:hAnsi="Calibri" w:cs="Calibri"/>
        </w:rPr>
        <w:t>Dubaj</w:t>
      </w:r>
      <w:proofErr w:type="spellEnd"/>
      <w:r w:rsidRPr="00072B7D">
        <w:rPr>
          <w:rFonts w:ascii="Calibri" w:eastAsia="Times New Roman" w:hAnsi="Calibri" w:cs="Calibri"/>
        </w:rPr>
        <w:t xml:space="preserve">, ZEA 2028 </w:t>
      </w:r>
    </w:p>
    <w:p w:rsidR="001D213A" w:rsidRDefault="006F6765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1D213A">
        <w:rPr>
          <w:rFonts w:ascii="Calibri" w:eastAsia="Times New Roman" w:hAnsi="Calibri" w:cs="Calibri"/>
        </w:rPr>
        <w:t xml:space="preserve">SIAL </w:t>
      </w:r>
      <w:proofErr w:type="spellStart"/>
      <w:r w:rsidRPr="001D213A">
        <w:rPr>
          <w:rFonts w:ascii="Calibri" w:eastAsia="Times New Roman" w:hAnsi="Calibri" w:cs="Calibri"/>
        </w:rPr>
        <w:t>Paris</w:t>
      </w:r>
      <w:proofErr w:type="spellEnd"/>
      <w:r w:rsidRPr="001D213A">
        <w:rPr>
          <w:rFonts w:ascii="Calibri" w:eastAsia="Times New Roman" w:hAnsi="Calibri" w:cs="Calibri"/>
        </w:rPr>
        <w:t xml:space="preserve">, Francja 2028 </w:t>
      </w:r>
    </w:p>
    <w:p w:rsidR="006F6765" w:rsidRPr="001D213A" w:rsidRDefault="006F6765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proofErr w:type="spellStart"/>
      <w:r w:rsidRPr="001D213A">
        <w:rPr>
          <w:rFonts w:ascii="Calibri" w:eastAsia="Times New Roman" w:hAnsi="Calibri" w:cs="Calibri"/>
        </w:rPr>
        <w:lastRenderedPageBreak/>
        <w:t>Food</w:t>
      </w:r>
      <w:proofErr w:type="spellEnd"/>
      <w:r w:rsidRPr="001D213A">
        <w:rPr>
          <w:rFonts w:ascii="Calibri" w:eastAsia="Times New Roman" w:hAnsi="Calibri" w:cs="Calibri"/>
        </w:rPr>
        <w:t xml:space="preserve"> </w:t>
      </w:r>
      <w:proofErr w:type="spellStart"/>
      <w:r w:rsidRPr="001D213A">
        <w:rPr>
          <w:rFonts w:ascii="Calibri" w:eastAsia="Times New Roman" w:hAnsi="Calibri" w:cs="Calibri"/>
        </w:rPr>
        <w:t>Africa</w:t>
      </w:r>
      <w:proofErr w:type="spellEnd"/>
      <w:r w:rsidRPr="001D213A">
        <w:rPr>
          <w:rFonts w:ascii="Calibri" w:eastAsia="Times New Roman" w:hAnsi="Calibri" w:cs="Calibri"/>
        </w:rPr>
        <w:t xml:space="preserve">, Kair, Egipt 2028 </w:t>
      </w:r>
    </w:p>
    <w:p w:rsidR="006F6765" w:rsidRPr="004E67D5" w:rsidRDefault="006F6765" w:rsidP="006F6765">
      <w:pPr>
        <w:spacing w:before="100" w:beforeAutospacing="1" w:after="100" w:afterAutospacing="1" w:line="240" w:lineRule="auto"/>
        <w:outlineLvl w:val="2"/>
        <w:rPr>
          <w:rFonts w:ascii="Calibri" w:eastAsia="Times New Roman" w:hAnsi="Calibri" w:cs="Calibri"/>
          <w:b/>
          <w:bCs/>
        </w:rPr>
      </w:pPr>
      <w:r w:rsidRPr="003B11CA">
        <w:rPr>
          <w:rFonts w:ascii="Calibri" w:eastAsia="Times New Roman" w:hAnsi="Calibri" w:cs="Calibri"/>
          <w:b/>
          <w:bCs/>
        </w:rPr>
        <w:t>ROK 2029</w:t>
      </w:r>
    </w:p>
    <w:p w:rsidR="006F6765" w:rsidRDefault="006F6765" w:rsidP="006F6765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lang w:eastAsia="pl-PL"/>
        </w:rPr>
      </w:pPr>
      <w:r w:rsidRPr="003B11CA">
        <w:rPr>
          <w:rFonts w:ascii="Calibri" w:eastAsia="Times New Roman" w:hAnsi="Calibri" w:cs="Calibri"/>
          <w:lang w:eastAsia="pl-PL"/>
        </w:rPr>
        <w:t xml:space="preserve">ISM </w:t>
      </w:r>
      <w:proofErr w:type="spellStart"/>
      <w:r w:rsidRPr="003B11CA">
        <w:rPr>
          <w:rFonts w:ascii="Calibri" w:eastAsia="Times New Roman" w:hAnsi="Calibri" w:cs="Calibri"/>
          <w:lang w:eastAsia="pl-PL"/>
        </w:rPr>
        <w:t>Cologne</w:t>
      </w:r>
      <w:proofErr w:type="spellEnd"/>
      <w:r w:rsidRPr="003B11CA">
        <w:rPr>
          <w:rFonts w:ascii="Calibri" w:eastAsia="Times New Roman" w:hAnsi="Calibri" w:cs="Calibri"/>
          <w:lang w:eastAsia="pl-PL"/>
        </w:rPr>
        <w:t xml:space="preserve">, Niemcy 2029 </w:t>
      </w:r>
    </w:p>
    <w:p w:rsidR="00072B7D" w:rsidRDefault="00072B7D" w:rsidP="00072B7D">
      <w:pPr>
        <w:pStyle w:val="Akapitzlist"/>
        <w:numPr>
          <w:ilvl w:val="0"/>
          <w:numId w:val="15"/>
        </w:numPr>
        <w:spacing w:after="200" w:line="276" w:lineRule="auto"/>
        <w:rPr>
          <w:rFonts w:ascii="Calibri" w:hAnsi="Calibri" w:cs="Calibri"/>
        </w:rPr>
      </w:pPr>
      <w:r w:rsidRPr="003B11CA">
        <w:rPr>
          <w:rFonts w:ascii="Calibri" w:hAnsi="Calibri" w:cs="Calibri"/>
        </w:rPr>
        <w:t xml:space="preserve">ANUGA, </w:t>
      </w:r>
      <w:proofErr w:type="spellStart"/>
      <w:r w:rsidRPr="003B11CA">
        <w:rPr>
          <w:rFonts w:ascii="Calibri" w:hAnsi="Calibri" w:cs="Calibri"/>
        </w:rPr>
        <w:t>Shenzen</w:t>
      </w:r>
      <w:proofErr w:type="spellEnd"/>
      <w:r w:rsidRPr="003B11CA">
        <w:rPr>
          <w:rFonts w:ascii="Calibri" w:hAnsi="Calibri" w:cs="Calibri"/>
        </w:rPr>
        <w:t>, China 2029</w:t>
      </w:r>
    </w:p>
    <w:p w:rsidR="00072B7D" w:rsidRPr="003B11CA" w:rsidRDefault="00072B7D" w:rsidP="00072B7D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4E67D5">
        <w:rPr>
          <w:rFonts w:ascii="Calibri" w:eastAsia="Times New Roman" w:hAnsi="Calibri" w:cs="Calibri"/>
        </w:rPr>
        <w:t xml:space="preserve">Sweet &amp; Snack Las Vegas, USA 2029 </w:t>
      </w:r>
    </w:p>
    <w:p w:rsidR="006F6765" w:rsidRPr="00072B7D" w:rsidRDefault="006F6765" w:rsidP="00072B7D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lang w:eastAsia="pl-PL"/>
        </w:rPr>
      </w:pPr>
      <w:r w:rsidRPr="00072B7D">
        <w:rPr>
          <w:rFonts w:ascii="Calibri" w:eastAsia="Times New Roman" w:hAnsi="Calibri" w:cs="Calibri"/>
        </w:rPr>
        <w:t xml:space="preserve">ISM </w:t>
      </w:r>
      <w:proofErr w:type="spellStart"/>
      <w:r w:rsidRPr="00072B7D">
        <w:rPr>
          <w:rFonts w:ascii="Calibri" w:eastAsia="Times New Roman" w:hAnsi="Calibri" w:cs="Calibri"/>
        </w:rPr>
        <w:t>Dubaj</w:t>
      </w:r>
      <w:proofErr w:type="spellEnd"/>
      <w:r w:rsidRPr="00072B7D">
        <w:rPr>
          <w:rFonts w:ascii="Calibri" w:eastAsia="Times New Roman" w:hAnsi="Calibri" w:cs="Calibri"/>
        </w:rPr>
        <w:t xml:space="preserve">, ZEA 2029 </w:t>
      </w:r>
    </w:p>
    <w:p w:rsidR="001D213A" w:rsidRPr="001D213A" w:rsidRDefault="00072B7D" w:rsidP="00072B7D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proofErr w:type="spellStart"/>
      <w:r w:rsidRPr="001D213A">
        <w:rPr>
          <w:rFonts w:ascii="Calibri" w:hAnsi="Calibri" w:cs="Calibri"/>
        </w:rPr>
        <w:t>Fine</w:t>
      </w:r>
      <w:proofErr w:type="spellEnd"/>
      <w:r w:rsidRPr="001D213A">
        <w:rPr>
          <w:rFonts w:ascii="Calibri" w:hAnsi="Calibri" w:cs="Calibri"/>
        </w:rPr>
        <w:t xml:space="preserve"> </w:t>
      </w:r>
      <w:proofErr w:type="spellStart"/>
      <w:r w:rsidRPr="001D213A">
        <w:rPr>
          <w:rFonts w:ascii="Calibri" w:hAnsi="Calibri" w:cs="Calibri"/>
        </w:rPr>
        <w:t>Food</w:t>
      </w:r>
      <w:proofErr w:type="spellEnd"/>
      <w:r w:rsidRPr="001D213A">
        <w:rPr>
          <w:rFonts w:ascii="Calibri" w:hAnsi="Calibri" w:cs="Calibri"/>
        </w:rPr>
        <w:t xml:space="preserve"> Melbourne, Australia 2029</w:t>
      </w:r>
    </w:p>
    <w:p w:rsidR="006F6765" w:rsidRPr="001D213A" w:rsidRDefault="006F6765" w:rsidP="00072B7D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rPr>
          <w:rFonts w:ascii="Calibri" w:eastAsia="Times New Roman" w:hAnsi="Calibri" w:cs="Calibri"/>
        </w:rPr>
      </w:pPr>
      <w:r w:rsidRPr="001D213A">
        <w:rPr>
          <w:rFonts w:ascii="Calibri" w:eastAsia="Times New Roman" w:hAnsi="Calibri" w:cs="Calibri"/>
        </w:rPr>
        <w:t xml:space="preserve">ANUGA </w:t>
      </w:r>
      <w:proofErr w:type="spellStart"/>
      <w:r w:rsidRPr="001D213A">
        <w:rPr>
          <w:rFonts w:ascii="Calibri" w:eastAsia="Times New Roman" w:hAnsi="Calibri" w:cs="Calibri"/>
        </w:rPr>
        <w:t>Cologne</w:t>
      </w:r>
      <w:proofErr w:type="spellEnd"/>
      <w:r w:rsidRPr="001D213A">
        <w:rPr>
          <w:rFonts w:ascii="Calibri" w:eastAsia="Times New Roman" w:hAnsi="Calibri" w:cs="Calibri"/>
        </w:rPr>
        <w:t xml:space="preserve">, Niemcy 2029 </w:t>
      </w:r>
    </w:p>
    <w:p w:rsidR="006F6765" w:rsidRDefault="006F6765" w:rsidP="006F6765">
      <w:pPr>
        <w:rPr>
          <w:rStyle w:val="Uwydatnienie"/>
          <w:rFonts w:cstheme="minorHAnsi"/>
          <w:color w:val="000000" w:themeColor="text1"/>
        </w:rPr>
      </w:pP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3. Wytyczne dla Projektów</w:t>
      </w:r>
    </w:p>
    <w:p w:rsidR="006F6765" w:rsidRDefault="006F6765" w:rsidP="006F6765">
      <w:pPr>
        <w:rPr>
          <w:b/>
          <w:bCs/>
        </w:rPr>
      </w:pPr>
      <w:r w:rsidRPr="0008261E">
        <w:rPr>
          <w:b/>
          <w:bCs/>
        </w:rPr>
        <w:t>3.1. Design i Estetyka</w:t>
      </w:r>
    </w:p>
    <w:p w:rsidR="006F6765" w:rsidRPr="00EE45E3" w:rsidRDefault="006F6765" w:rsidP="006F6765">
      <w:pPr>
        <w:rPr>
          <w:b/>
        </w:rPr>
      </w:pPr>
      <w:r w:rsidRPr="00EE45E3">
        <w:rPr>
          <w:b/>
        </w:rPr>
        <w:t>Unikalność stoisk</w:t>
      </w:r>
    </w:p>
    <w:p w:rsidR="006F6765" w:rsidRPr="00FA2928" w:rsidRDefault="006F6765" w:rsidP="006F6765">
      <w:r w:rsidRPr="00FA2928">
        <w:t>Każde stoisko musi odzwierciedlać unikalność marki, jednocześnie uwzględniając specyfikę lokalnego rynku oraz charakter wydarzenia targowego. Oznacza to konieczność personalizacji projektu stoiska w zależności od regionu i oczekiwań odwiedzających.</w:t>
      </w:r>
    </w:p>
    <w:p w:rsidR="006F6765" w:rsidRPr="00EE45E3" w:rsidRDefault="006F6765" w:rsidP="006F6765">
      <w:pPr>
        <w:rPr>
          <w:b/>
        </w:rPr>
      </w:pPr>
      <w:r w:rsidRPr="00EE45E3">
        <w:rPr>
          <w:b/>
        </w:rPr>
        <w:t>Modułowość</w:t>
      </w:r>
    </w:p>
    <w:p w:rsidR="006F6765" w:rsidRPr="00FA2928" w:rsidRDefault="006F6765" w:rsidP="006F6765">
      <w:r w:rsidRPr="00FA2928">
        <w:t>Modułowy design jest kluczowym wymogiem, pozwalającym na elastyczność i efektywność ekonomiczną przy wielokrotnym wykorzystaniu stoiska.</w:t>
      </w:r>
    </w:p>
    <w:p w:rsidR="006F6765" w:rsidRPr="00FA2928" w:rsidRDefault="006F6765" w:rsidP="006F6765">
      <w:pPr>
        <w:numPr>
          <w:ilvl w:val="0"/>
          <w:numId w:val="9"/>
        </w:numPr>
        <w:spacing w:after="160" w:line="259" w:lineRule="auto"/>
      </w:pPr>
      <w:r w:rsidRPr="00FA2928">
        <w:t>Elastyczność projektu: Stoisko musi być zaprojektowane tak, aby jego elementy mogły być łatwo demontowane, transportowane i rekonfigurowane w zależności od dostępnej przestrzeni oraz specyfiki kolejnych wydarzeń. Na przykład, modułowe panele ścienne lub podesty mogą być przekształcane w różne konfiguracje, dostosowane do wymogów danego targu.</w:t>
      </w:r>
    </w:p>
    <w:p w:rsidR="006F6765" w:rsidRPr="00FA2928" w:rsidRDefault="006F6765" w:rsidP="006F6765">
      <w:pPr>
        <w:numPr>
          <w:ilvl w:val="0"/>
          <w:numId w:val="9"/>
        </w:numPr>
        <w:spacing w:after="160" w:line="259" w:lineRule="auto"/>
      </w:pPr>
      <w:r>
        <w:t>Wykorzystanie</w:t>
      </w:r>
      <w:r w:rsidRPr="00FA2928">
        <w:t xml:space="preserve"> zasobów: Ponowne wykorzystanie co najmniej 50% elementów stoiska redukuje </w:t>
      </w:r>
      <w:r>
        <w:t xml:space="preserve">ilość potencjalnych odpadów </w:t>
      </w:r>
      <w:proofErr w:type="spellStart"/>
      <w:r>
        <w:t>tym</w:t>
      </w:r>
      <w:proofErr w:type="spellEnd"/>
      <w:r>
        <w:t xml:space="preserve"> samym</w:t>
      </w:r>
      <w:r w:rsidRPr="00FA2928">
        <w:t xml:space="preserve"> wspiera zrównoważony rozwój, co jest zgodne z oczekiwaniami rynków europejskich i globalnymi trendami w branży wystawienniczej.</w:t>
      </w:r>
    </w:p>
    <w:p w:rsidR="006F6765" w:rsidRPr="00FA2928" w:rsidRDefault="006F6765" w:rsidP="006F6765">
      <w:pPr>
        <w:numPr>
          <w:ilvl w:val="0"/>
          <w:numId w:val="9"/>
        </w:numPr>
        <w:spacing w:after="160" w:line="259" w:lineRule="auto"/>
      </w:pPr>
      <w:r w:rsidRPr="00FA2928">
        <w:t>Zrównoważone materiały: Modułowe elementy powinny być wykonane z materiałów o wysokiej wytrzymałości, takich jak aluminium, drewno czy kompozyty, które łatwo poddać recyklingowi lub ponownemu użyciu.</w:t>
      </w:r>
    </w:p>
    <w:p w:rsidR="006F6765" w:rsidRPr="00EE45E3" w:rsidRDefault="006F6765" w:rsidP="006F6765">
      <w:pPr>
        <w:rPr>
          <w:b/>
        </w:rPr>
      </w:pPr>
      <w:r w:rsidRPr="00EE45E3">
        <w:rPr>
          <w:b/>
        </w:rPr>
        <w:t xml:space="preserve">Estetyka </w:t>
      </w:r>
      <w:proofErr w:type="spellStart"/>
      <w:r w:rsidRPr="00EE45E3">
        <w:rPr>
          <w:b/>
        </w:rPr>
        <w:t>premium</w:t>
      </w:r>
      <w:proofErr w:type="spellEnd"/>
    </w:p>
    <w:p w:rsidR="006F6765" w:rsidRPr="00FA2928" w:rsidRDefault="006F6765" w:rsidP="006F6765">
      <w:r w:rsidRPr="00FA2928">
        <w:t>Estetyka stoiska musi wywoływać skojarzenia z produktami wysokiej jakości oraz innowacyjnością.</w:t>
      </w:r>
    </w:p>
    <w:p w:rsidR="006F6765" w:rsidRPr="00FA2928" w:rsidRDefault="006F6765" w:rsidP="006F6765">
      <w:pPr>
        <w:numPr>
          <w:ilvl w:val="0"/>
          <w:numId w:val="10"/>
        </w:numPr>
        <w:spacing w:after="160" w:line="259" w:lineRule="auto"/>
      </w:pPr>
      <w:r w:rsidRPr="00FA2928">
        <w:t xml:space="preserve">Nowoczesny design: Prostota formy i harmonia wizualna będą kluczowe dla podkreślenia klasy </w:t>
      </w:r>
      <w:proofErr w:type="spellStart"/>
      <w:r w:rsidRPr="00FA2928">
        <w:t>premium</w:t>
      </w:r>
      <w:proofErr w:type="spellEnd"/>
      <w:r w:rsidRPr="00FA2928">
        <w:t xml:space="preserve"> marki. Elementy takie jak geometryczne kształty, ukryte oświetlenie LED oraz odpowiednie wykończenie powierzchni (np. matowe szkło czy drewno) nadadzą stoisku elegancji.</w:t>
      </w:r>
    </w:p>
    <w:p w:rsidR="006F6765" w:rsidRPr="00FA2928" w:rsidRDefault="006F6765" w:rsidP="006F6765">
      <w:pPr>
        <w:numPr>
          <w:ilvl w:val="0"/>
          <w:numId w:val="10"/>
        </w:numPr>
        <w:spacing w:after="160" w:line="259" w:lineRule="auto"/>
      </w:pPr>
      <w:r w:rsidRPr="00FA2928">
        <w:t xml:space="preserve">Ekologiczne materiały: Użycie materiałów przyjaznych środowisku, takich jak drewno z certyfikatami FSC, aluminium pochodzące z recyklingu czy kompozyty </w:t>
      </w:r>
      <w:proofErr w:type="spellStart"/>
      <w:r w:rsidRPr="00FA2928">
        <w:t>biodegradowalne</w:t>
      </w:r>
      <w:proofErr w:type="spellEnd"/>
      <w:r w:rsidRPr="00FA2928">
        <w:t>, nie tylko podkreśla zaangażowanie firmy w zrównoważony rozwój, ale także odpowiada na potrzeby świadomych konsumentów i partnerów biznesowych.</w:t>
      </w:r>
    </w:p>
    <w:p w:rsidR="006F6765" w:rsidRPr="00FA2928" w:rsidRDefault="006F6765" w:rsidP="006F6765">
      <w:pPr>
        <w:numPr>
          <w:ilvl w:val="0"/>
          <w:numId w:val="10"/>
        </w:numPr>
        <w:spacing w:after="160" w:line="259" w:lineRule="auto"/>
      </w:pPr>
      <w:r w:rsidRPr="00FA2928">
        <w:lastRenderedPageBreak/>
        <w:t xml:space="preserve">Elementy technologiczne: Stoisko powinno być wyposażone w nowoczesne technologie, takie jak interaktywne ekrany dotykowe. Szczególną rolę odgrywa prezentacja technologii </w:t>
      </w:r>
      <w:proofErr w:type="spellStart"/>
      <w:r w:rsidRPr="00FA2928">
        <w:t>samodezynfekcji</w:t>
      </w:r>
      <w:proofErr w:type="spellEnd"/>
      <w:r w:rsidRPr="00FA2928">
        <w:t xml:space="preserve"> ekranów, która wyróżnia firmę na tle konkurencji. Ekrany powinny być umieszczone w centralnej części stoiska, wkomponowane w elegancką obudowę, aby zachęcić odwiedzających do interakcji.</w:t>
      </w:r>
    </w:p>
    <w:p w:rsidR="006F6765" w:rsidRPr="00FA2928" w:rsidRDefault="006F6765" w:rsidP="006F6765">
      <w:r w:rsidRPr="00FA2928">
        <w:t xml:space="preserve">Podsumowując, projekt stoisk oparty na powyższych wytycznych łączy nowoczesność, zrównoważony rozwój i innowacje technologiczne. Taki design nie tylko przyciąga uwagę odwiedzających, ale także skutecznie buduje wizerunek marki jako lidera w kategorii produktów </w:t>
      </w:r>
      <w:proofErr w:type="spellStart"/>
      <w:r w:rsidRPr="00FA2928">
        <w:t>premium</w:t>
      </w:r>
      <w:proofErr w:type="spellEnd"/>
      <w:r w:rsidRPr="00FA2928">
        <w:t xml:space="preserve"> oraz innowacji wystawienniczych.</w:t>
      </w:r>
    </w:p>
    <w:p w:rsidR="006F6765" w:rsidRDefault="006F6765" w:rsidP="006F6765">
      <w:pPr>
        <w:rPr>
          <w:b/>
          <w:bCs/>
        </w:rPr>
      </w:pPr>
      <w:r w:rsidRPr="0008261E">
        <w:rPr>
          <w:b/>
          <w:bCs/>
        </w:rPr>
        <w:t>3.2. Funkcjonalność</w:t>
      </w:r>
    </w:p>
    <w:p w:rsidR="006F6765" w:rsidRPr="00DE139C" w:rsidRDefault="006F6765" w:rsidP="006F6765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Strefa demonstracyjna</w:t>
      </w:r>
    </w:p>
    <w:p w:rsidR="006F6765" w:rsidRPr="00DE139C" w:rsidRDefault="006F6765" w:rsidP="006F6765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sz w:val="24"/>
          <w:szCs w:val="24"/>
        </w:rPr>
        <w:t>Strefa demonstracyjna ma być kluczowym elementem każdego stoiska, zajmując co najmniej 50% jego powierzchni. To przestrzeń, w której odwiedzający będą mieli okazję poznać produkty, innowacje oraz technologie prezentowane przez markę.</w:t>
      </w:r>
    </w:p>
    <w:p w:rsidR="006F6765" w:rsidRPr="00DE139C" w:rsidRDefault="006F6765" w:rsidP="006F6765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Wielkość i układ</w:t>
      </w:r>
      <w:r w:rsidRPr="00DE139C">
        <w:rPr>
          <w:rFonts w:eastAsia="Times New Roman" w:cstheme="minorHAnsi"/>
          <w:sz w:val="24"/>
          <w:szCs w:val="24"/>
        </w:rPr>
        <w:t>: Wymóg zajmowania połowy powierzchni wynika z potrzeby wyeksponowania produktów w atrakcyjny i dostępny sposób. W dużej, otwartej przestrzeni można lepiej zorganizować degustacje, prezentacje technologiczne i pokazy multimedialne.</w:t>
      </w:r>
    </w:p>
    <w:p w:rsidR="006F6765" w:rsidRPr="00DE139C" w:rsidRDefault="006F6765" w:rsidP="006F6765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Interaktywne technologie</w:t>
      </w:r>
      <w:r w:rsidRPr="00DE139C">
        <w:rPr>
          <w:rFonts w:eastAsia="Times New Roman" w:cstheme="minorHAnsi"/>
          <w:sz w:val="24"/>
          <w:szCs w:val="24"/>
        </w:rPr>
        <w:t>: Włączenie nowoczesnych narzędzi, takich jak ekrany dotykowe, VR/AR (wirtualna i rozszerzona rzeczywistość) czy hologramy, ma na celu zwiększenie zaangażowania odwiedzających.</w:t>
      </w:r>
    </w:p>
    <w:p w:rsidR="006F6765" w:rsidRPr="00DE139C" w:rsidRDefault="006F6765" w:rsidP="006F676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Ekrany dotykowe</w:t>
      </w:r>
      <w:r w:rsidRPr="00DE139C">
        <w:rPr>
          <w:rFonts w:eastAsia="Times New Roman" w:cstheme="minorHAnsi"/>
          <w:sz w:val="24"/>
          <w:szCs w:val="24"/>
        </w:rPr>
        <w:t xml:space="preserve">: Mogą prezentować interaktywne katalogi produktów, wirtualne procesy produkcji czy składniki wyrobów. Funkcja </w:t>
      </w:r>
      <w:proofErr w:type="spellStart"/>
      <w:r w:rsidRPr="00DE139C">
        <w:rPr>
          <w:rFonts w:eastAsia="Times New Roman" w:cstheme="minorHAnsi"/>
          <w:sz w:val="24"/>
          <w:szCs w:val="24"/>
        </w:rPr>
        <w:t>samodezynfekcji</w:t>
      </w:r>
      <w:proofErr w:type="spellEnd"/>
      <w:r w:rsidRPr="00DE139C">
        <w:rPr>
          <w:rFonts w:eastAsia="Times New Roman" w:cstheme="minorHAnsi"/>
          <w:sz w:val="24"/>
          <w:szCs w:val="24"/>
        </w:rPr>
        <w:t xml:space="preserve"> ekranów dodatkowo podkreśli innowacyjność marki.</w:t>
      </w:r>
    </w:p>
    <w:p w:rsidR="006F6765" w:rsidRPr="00DE139C" w:rsidRDefault="006F6765" w:rsidP="006F676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VR/AR</w:t>
      </w:r>
      <w:r w:rsidRPr="00DE139C">
        <w:rPr>
          <w:rFonts w:eastAsia="Times New Roman" w:cstheme="minorHAnsi"/>
          <w:sz w:val="24"/>
          <w:szCs w:val="24"/>
        </w:rPr>
        <w:t xml:space="preserve">: Umożliwia odwiedzającym „zanurzenie się” w świecie marki. Na przykład za pomocą okularów VR można przeprowadzić wirtualny spacer </w:t>
      </w:r>
      <w:proofErr w:type="spellStart"/>
      <w:r w:rsidRPr="00DE139C">
        <w:rPr>
          <w:rFonts w:eastAsia="Times New Roman" w:cstheme="minorHAnsi"/>
          <w:sz w:val="24"/>
          <w:szCs w:val="24"/>
        </w:rPr>
        <w:t>po</w:t>
      </w:r>
      <w:proofErr w:type="spellEnd"/>
      <w:r w:rsidRPr="00DE139C">
        <w:rPr>
          <w:rFonts w:eastAsia="Times New Roman" w:cstheme="minorHAnsi"/>
          <w:sz w:val="24"/>
          <w:szCs w:val="24"/>
        </w:rPr>
        <w:t xml:space="preserve"> zakładzie produkcyjnym lub zaprezentować proces powstawania produktu.</w:t>
      </w:r>
    </w:p>
    <w:p w:rsidR="006F6765" w:rsidRPr="00DE139C" w:rsidRDefault="006F6765" w:rsidP="006F676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Hologramy</w:t>
      </w:r>
      <w:r w:rsidRPr="00DE139C">
        <w:rPr>
          <w:rFonts w:eastAsia="Times New Roman" w:cstheme="minorHAnsi"/>
          <w:sz w:val="24"/>
          <w:szCs w:val="24"/>
        </w:rPr>
        <w:t>: Mogą przyciągać uwagę odwiedzających, prezentując trójwymiarowe wizualizacje produktów w sposób nowoczesny i dynamiczny.</w:t>
      </w:r>
    </w:p>
    <w:p w:rsidR="006F6765" w:rsidRPr="00DE139C" w:rsidRDefault="006F6765" w:rsidP="006F6765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Prezentacja produktów</w:t>
      </w:r>
      <w:r w:rsidRPr="00DE139C">
        <w:rPr>
          <w:rFonts w:eastAsia="Times New Roman" w:cstheme="minorHAnsi"/>
          <w:sz w:val="24"/>
          <w:szCs w:val="24"/>
        </w:rPr>
        <w:t>: Produkty muszą być eksponowane w sposób przyciągający wzrok – na podświetlanych półkach lub w transparentnych gablotach. W strefie tej można również organizować degustacje, co pozwala potencjalnym partnerom biznesowym bezpośrednio poznać jakość i smak wyrobów.</w:t>
      </w:r>
    </w:p>
    <w:p w:rsidR="006F6765" w:rsidRPr="00DE139C" w:rsidRDefault="006F6765" w:rsidP="006F6765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Strefa spotkań</w:t>
      </w:r>
    </w:p>
    <w:p w:rsidR="006F6765" w:rsidRPr="00DE139C" w:rsidRDefault="006F6765" w:rsidP="006F6765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sz w:val="24"/>
          <w:szCs w:val="24"/>
        </w:rPr>
        <w:t>Przestrzeń do rozmów biznesowych jest kluczowa dla budowania relacji handlowych oraz prowadzenia negocjacji.</w:t>
      </w:r>
    </w:p>
    <w:p w:rsidR="006F6765" w:rsidRPr="00DE139C" w:rsidRDefault="006F6765" w:rsidP="006F676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Wygodne meble</w:t>
      </w:r>
      <w:r w:rsidRPr="00DE139C">
        <w:rPr>
          <w:rFonts w:eastAsia="Times New Roman" w:cstheme="minorHAnsi"/>
          <w:sz w:val="24"/>
          <w:szCs w:val="24"/>
        </w:rPr>
        <w:t>: Powinna być wyposażona w ergonomiczne fotele lub kanapy oraz stoliki o odpowiedniej wysokości, sprzyjające komfortowej rozmowie.</w:t>
      </w:r>
    </w:p>
    <w:p w:rsidR="006F6765" w:rsidRPr="00DE139C" w:rsidRDefault="006F6765" w:rsidP="006F676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lastRenderedPageBreak/>
        <w:t>Oświetlenie</w:t>
      </w:r>
      <w:r w:rsidRPr="00DE139C">
        <w:rPr>
          <w:rFonts w:eastAsia="Times New Roman" w:cstheme="minorHAnsi"/>
          <w:sz w:val="24"/>
          <w:szCs w:val="24"/>
        </w:rPr>
        <w:t>: Należy zastosować subtelne, ciepłe światło, które tworzy przyjazną atmosferę, jednocześnie zapewniając wystarczającą jasność do przeglądania dokumentów i materiałów promocyjnych.</w:t>
      </w:r>
    </w:p>
    <w:p w:rsidR="006F6765" w:rsidRPr="00DE139C" w:rsidRDefault="006F6765" w:rsidP="006F676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Akustyka</w:t>
      </w:r>
      <w:r w:rsidRPr="00DE139C">
        <w:rPr>
          <w:rFonts w:eastAsia="Times New Roman" w:cstheme="minorHAnsi"/>
          <w:sz w:val="24"/>
          <w:szCs w:val="24"/>
        </w:rPr>
        <w:t>: W miarę możliwości przestrzeń ta powinna być oddzielona od głównego ruchu w strefie demonstracyjnej, aby zminimalizować hałas i zapewnić prywatność rozmów.</w:t>
      </w:r>
    </w:p>
    <w:p w:rsidR="006F6765" w:rsidRPr="00DE139C" w:rsidRDefault="006F6765" w:rsidP="006F676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Materiały pomocnicze</w:t>
      </w:r>
      <w:r w:rsidRPr="00DE139C">
        <w:rPr>
          <w:rFonts w:eastAsia="Times New Roman" w:cstheme="minorHAnsi"/>
          <w:sz w:val="24"/>
          <w:szCs w:val="24"/>
        </w:rPr>
        <w:t>: W strefie powinny znajdować się tablety z cyfrowym katalogiem produktów, wydruki ofert czy wizytówki, co ułatwia prowadzenie efektywnych rozmów.</w:t>
      </w:r>
    </w:p>
    <w:p w:rsidR="006F6765" w:rsidRPr="00DE139C" w:rsidRDefault="006F6765" w:rsidP="006F6765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Magazyn</w:t>
      </w:r>
    </w:p>
    <w:p w:rsidR="006F6765" w:rsidRPr="00DE139C" w:rsidRDefault="006F6765" w:rsidP="006F6765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sz w:val="24"/>
          <w:szCs w:val="24"/>
        </w:rPr>
        <w:t>Dyskretnie wkomponowana przestrzeń magazynowa jest niezbędna do przechowywania materiałów promocyjnych, zapasów produktów czy akcesoriów niezbędnych do funkcjonowania stoiska.</w:t>
      </w:r>
    </w:p>
    <w:p w:rsidR="006F6765" w:rsidRPr="00DE139C" w:rsidRDefault="006F6765" w:rsidP="006F676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Lokalizacja</w:t>
      </w:r>
      <w:r w:rsidRPr="00DE139C">
        <w:rPr>
          <w:rFonts w:eastAsia="Times New Roman" w:cstheme="minorHAnsi"/>
          <w:sz w:val="24"/>
          <w:szCs w:val="24"/>
        </w:rPr>
        <w:t>: Magazyn powinien być niewidoczny dla odwiedzających, np. umieszczony za panelem wystawienniczym lub w formie zamykanych szafek w części stoiska.</w:t>
      </w:r>
    </w:p>
    <w:p w:rsidR="006F6765" w:rsidRPr="00DE139C" w:rsidRDefault="006F6765" w:rsidP="006F676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Rozmiar i funkcjonalność</w:t>
      </w:r>
      <w:r w:rsidRPr="00DE139C">
        <w:rPr>
          <w:rFonts w:eastAsia="Times New Roman" w:cstheme="minorHAnsi"/>
          <w:sz w:val="24"/>
          <w:szCs w:val="24"/>
        </w:rPr>
        <w:t>: Powinien być na tyle przestronny, by pomieścić niezbędne materiały, ale jednocześnie kompaktowy, aby nie zajmował zbyt dużej części powierzchni stoiska.</w:t>
      </w:r>
    </w:p>
    <w:p w:rsidR="006F6765" w:rsidRPr="00DE139C" w:rsidRDefault="006F6765" w:rsidP="006F676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Dostępność</w:t>
      </w:r>
      <w:r w:rsidRPr="00DE139C">
        <w:rPr>
          <w:rFonts w:eastAsia="Times New Roman" w:cstheme="minorHAnsi"/>
          <w:sz w:val="24"/>
          <w:szCs w:val="24"/>
        </w:rPr>
        <w:t>: Wejście do magazynu musi być łatwe i szybkie, aby obsługa stoiska mogła w razie potrzeby dyskretnie uzupełnić zapasy materiałów lub produktów.</w:t>
      </w:r>
    </w:p>
    <w:p w:rsidR="006F6765" w:rsidRPr="00DE139C" w:rsidRDefault="006F6765" w:rsidP="006F6765">
      <w:pPr>
        <w:spacing w:before="100" w:beforeAutospacing="1" w:after="100" w:afterAutospacing="1" w:line="240" w:lineRule="auto"/>
        <w:outlineLvl w:val="3"/>
        <w:rPr>
          <w:rFonts w:eastAsia="Times New Roman" w:cstheme="minorHAnsi"/>
          <w:b/>
          <w:bCs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Modularność</w:t>
      </w:r>
    </w:p>
    <w:p w:rsidR="006F6765" w:rsidRPr="00DE139C" w:rsidRDefault="006F6765" w:rsidP="006F6765">
      <w:p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sz w:val="24"/>
          <w:szCs w:val="24"/>
        </w:rPr>
        <w:t>Stoisko musi być zaprojektowane w sposób modułowy, co pozwala na łatwe rozłożenie, złożenie i transport.</w:t>
      </w:r>
    </w:p>
    <w:p w:rsidR="006F6765" w:rsidRPr="00DE139C" w:rsidRDefault="006F6765" w:rsidP="006F676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Kompaktowy transport</w:t>
      </w:r>
      <w:r w:rsidRPr="00DE139C">
        <w:rPr>
          <w:rFonts w:eastAsia="Times New Roman" w:cstheme="minorHAnsi"/>
          <w:sz w:val="24"/>
          <w:szCs w:val="24"/>
        </w:rPr>
        <w:t>: Wszystkie elementy stoiska powinny być zoptymalizowane tak, aby mogły zmieścić się na dwóch paletach. To obniży koszty transportu i magazynowania.</w:t>
      </w:r>
    </w:p>
    <w:p w:rsidR="006F6765" w:rsidRPr="00DE139C" w:rsidRDefault="006F6765" w:rsidP="006F676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Łatwość montażu</w:t>
      </w:r>
      <w:r w:rsidRPr="00DE139C">
        <w:rPr>
          <w:rFonts w:eastAsia="Times New Roman" w:cstheme="minorHAnsi"/>
          <w:sz w:val="24"/>
          <w:szCs w:val="24"/>
        </w:rPr>
        <w:t>: Modułowe komponenty muszą być proste w obsłudze, umożliwiając szybkie złożenie stoiska przez niewielką ekipę techniczną. Systemy typu „</w:t>
      </w:r>
      <w:proofErr w:type="spellStart"/>
      <w:r w:rsidRPr="00DE139C">
        <w:rPr>
          <w:rFonts w:eastAsia="Times New Roman" w:cstheme="minorHAnsi"/>
          <w:sz w:val="24"/>
          <w:szCs w:val="24"/>
        </w:rPr>
        <w:t>plug</w:t>
      </w:r>
      <w:proofErr w:type="spellEnd"/>
      <w:r w:rsidRPr="00DE139C">
        <w:rPr>
          <w:rFonts w:eastAsia="Times New Roman" w:cstheme="minorHAnsi"/>
          <w:sz w:val="24"/>
          <w:szCs w:val="24"/>
        </w:rPr>
        <w:t xml:space="preserve"> and play” pozwolą na skrócenie czasu instalacji i demontażu.</w:t>
      </w:r>
    </w:p>
    <w:p w:rsidR="006F6765" w:rsidRPr="00DE139C" w:rsidRDefault="006F6765" w:rsidP="006F676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 w:cstheme="minorHAnsi"/>
          <w:sz w:val="24"/>
          <w:szCs w:val="24"/>
        </w:rPr>
      </w:pPr>
      <w:r w:rsidRPr="00DE139C">
        <w:rPr>
          <w:rFonts w:eastAsia="Times New Roman" w:cstheme="minorHAnsi"/>
          <w:b/>
          <w:bCs/>
          <w:sz w:val="24"/>
          <w:szCs w:val="24"/>
        </w:rPr>
        <w:t>Wielokrotne użycie</w:t>
      </w:r>
      <w:r w:rsidRPr="00DE139C">
        <w:rPr>
          <w:rFonts w:eastAsia="Times New Roman" w:cstheme="minorHAnsi"/>
          <w:sz w:val="24"/>
          <w:szCs w:val="24"/>
        </w:rPr>
        <w:t>: Elementy modułowe, takie jak panele ścienne, meble czy konstrukcje wsporcze, powinny być zaprojektowane tak, aby mogły być ponownie wykorzystane na kolejnych wydarzeniach, minimalizując potrzebę produkcji nowych komponentów.</w:t>
      </w:r>
    </w:p>
    <w:p w:rsidR="006F6765" w:rsidRPr="00DE139C" w:rsidRDefault="006F6765" w:rsidP="006F67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E139C">
        <w:rPr>
          <w:rFonts w:eastAsia="Times New Roman" w:cstheme="minorHAnsi"/>
          <w:sz w:val="24"/>
          <w:szCs w:val="24"/>
        </w:rPr>
        <w:t xml:space="preserve">Funkcjonalność stoiska opiera się na synergii estetyki i praktyczności. Strefa demonstracyjna przyciąga uwagę innowacyjnymi technologiami i prezentacjami produktów, strefa spotkań zapewnia komfortowe warunki do rozmów biznesowych, a dyskretny magazyn ułatwia zarządzanie logistyką. Modułowy design zapewnia elastyczność i optymalizację kosztów, czyniąc stoisko zarówno atrakcyjnym, jak i funkcjonalnym. Wszystkie </w:t>
      </w:r>
      <w:proofErr w:type="spellStart"/>
      <w:r w:rsidRPr="00DE139C">
        <w:rPr>
          <w:rFonts w:eastAsia="Times New Roman" w:cstheme="minorHAnsi"/>
          <w:sz w:val="24"/>
          <w:szCs w:val="24"/>
        </w:rPr>
        <w:t>te</w:t>
      </w:r>
      <w:proofErr w:type="spellEnd"/>
      <w:r w:rsidRPr="00DE139C">
        <w:rPr>
          <w:rFonts w:eastAsia="Times New Roman" w:cstheme="minorHAnsi"/>
          <w:sz w:val="24"/>
          <w:szCs w:val="24"/>
        </w:rPr>
        <w:t xml:space="preserve"> elementy wspierają realizację celów promocyjnych i budowanie wizerunku marki jako innowacyjnego lidera w branży</w:t>
      </w:r>
      <w:r w:rsidRPr="00DE139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lastRenderedPageBreak/>
        <w:t>3.3. Materiały</w:t>
      </w:r>
    </w:p>
    <w:p w:rsidR="006F6765" w:rsidRPr="0008261E" w:rsidRDefault="006F6765" w:rsidP="006F6765">
      <w:pPr>
        <w:numPr>
          <w:ilvl w:val="0"/>
          <w:numId w:val="1"/>
        </w:numPr>
        <w:spacing w:after="160" w:line="259" w:lineRule="auto"/>
      </w:pPr>
      <w:r w:rsidRPr="0008261E">
        <w:t>Wymagane są materiały przyjazne środowisku, takie jak:</w:t>
      </w:r>
    </w:p>
    <w:p w:rsidR="006F6765" w:rsidRPr="0008261E" w:rsidRDefault="006F6765" w:rsidP="006F6765">
      <w:pPr>
        <w:numPr>
          <w:ilvl w:val="1"/>
          <w:numId w:val="1"/>
        </w:numPr>
        <w:spacing w:after="160" w:line="259" w:lineRule="auto"/>
      </w:pPr>
      <w:r w:rsidRPr="0008261E">
        <w:t>Drewno certyfikowane FSC.</w:t>
      </w:r>
    </w:p>
    <w:p w:rsidR="006F6765" w:rsidRPr="0008261E" w:rsidRDefault="006F6765" w:rsidP="006F6765">
      <w:pPr>
        <w:numPr>
          <w:ilvl w:val="1"/>
          <w:numId w:val="1"/>
        </w:numPr>
        <w:spacing w:after="160" w:line="259" w:lineRule="auto"/>
      </w:pPr>
      <w:r w:rsidRPr="0008261E">
        <w:t>Szkło hartowane.</w:t>
      </w:r>
    </w:p>
    <w:p w:rsidR="006F6765" w:rsidRPr="0008261E" w:rsidRDefault="006F6765" w:rsidP="006F6765">
      <w:pPr>
        <w:numPr>
          <w:ilvl w:val="1"/>
          <w:numId w:val="1"/>
        </w:numPr>
        <w:spacing w:after="160" w:line="259" w:lineRule="auto"/>
      </w:pPr>
      <w:r w:rsidRPr="0008261E">
        <w:t>Aluminium lub stal nierdzewna.</w:t>
      </w:r>
    </w:p>
    <w:p w:rsidR="006F6765" w:rsidRPr="0008261E" w:rsidRDefault="006F6765" w:rsidP="006F6765">
      <w:pPr>
        <w:numPr>
          <w:ilvl w:val="1"/>
          <w:numId w:val="1"/>
        </w:numPr>
        <w:spacing w:after="160" w:line="259" w:lineRule="auto"/>
      </w:pPr>
      <w:r w:rsidRPr="0008261E">
        <w:t>Tkaniny naturalne lub z recyklingu.</w:t>
      </w:r>
    </w:p>
    <w:p w:rsidR="006F6765" w:rsidRPr="0008261E" w:rsidRDefault="006F6765" w:rsidP="006F6765">
      <w:pPr>
        <w:numPr>
          <w:ilvl w:val="0"/>
          <w:numId w:val="1"/>
        </w:numPr>
        <w:spacing w:after="160" w:line="259" w:lineRule="auto"/>
      </w:pPr>
      <w:r w:rsidRPr="0008261E">
        <w:t>Zakaz stosowania PCV oraz materiałów trudnych do recyklingu.</w:t>
      </w: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3.4. Oświetlenie</w:t>
      </w:r>
    </w:p>
    <w:p w:rsidR="006F6765" w:rsidRPr="0008261E" w:rsidRDefault="006F6765" w:rsidP="006F6765">
      <w:pPr>
        <w:numPr>
          <w:ilvl w:val="0"/>
          <w:numId w:val="2"/>
        </w:numPr>
        <w:spacing w:after="160" w:line="259" w:lineRule="auto"/>
      </w:pPr>
      <w:r w:rsidRPr="0008261E">
        <w:t>Zaawansowane oświetlenie LED z możliwością regulacji intensywności i koloru.</w:t>
      </w:r>
    </w:p>
    <w:p w:rsidR="006F6765" w:rsidRPr="0008261E" w:rsidRDefault="006F6765" w:rsidP="006F6765">
      <w:pPr>
        <w:numPr>
          <w:ilvl w:val="0"/>
          <w:numId w:val="2"/>
        </w:numPr>
        <w:spacing w:after="160" w:line="259" w:lineRule="auto"/>
      </w:pPr>
      <w:r w:rsidRPr="0008261E">
        <w:t>Punktowe reflektory do podkreślenia kluczowych produktów i elementów stoiska.</w:t>
      </w: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3.5. Technologie Multimedialne</w:t>
      </w:r>
    </w:p>
    <w:p w:rsidR="006F6765" w:rsidRPr="0008261E" w:rsidRDefault="006F6765" w:rsidP="006F6765">
      <w:pPr>
        <w:numPr>
          <w:ilvl w:val="0"/>
          <w:numId w:val="3"/>
        </w:numPr>
        <w:spacing w:after="160" w:line="259" w:lineRule="auto"/>
      </w:pPr>
      <w:r w:rsidRPr="0008261E">
        <w:t>Ekrany dotykowe lub ściany interaktywne.</w:t>
      </w:r>
    </w:p>
    <w:p w:rsidR="006F6765" w:rsidRPr="0008261E" w:rsidRDefault="006F6765" w:rsidP="006F6765">
      <w:pPr>
        <w:numPr>
          <w:ilvl w:val="0"/>
          <w:numId w:val="3"/>
        </w:numPr>
        <w:spacing w:after="160" w:line="259" w:lineRule="auto"/>
      </w:pPr>
      <w:r w:rsidRPr="0008261E">
        <w:t>Prezentacje holograficzne i systemy VR/AR.</w:t>
      </w:r>
    </w:p>
    <w:p w:rsidR="006F6765" w:rsidRPr="0008261E" w:rsidRDefault="006F6765" w:rsidP="006F6765">
      <w:pPr>
        <w:numPr>
          <w:ilvl w:val="0"/>
          <w:numId w:val="3"/>
        </w:numPr>
        <w:spacing w:after="160" w:line="259" w:lineRule="auto"/>
      </w:pPr>
      <w:r w:rsidRPr="0008261E">
        <w:t>System zarządzania oświetleniem i dźwiękiem.</w:t>
      </w:r>
    </w:p>
    <w:p w:rsidR="007F39AC" w:rsidRPr="007F39AC" w:rsidRDefault="007F39AC" w:rsidP="007F39AC">
      <w:pPr>
        <w:rPr>
          <w:b/>
          <w:bCs/>
        </w:rPr>
      </w:pPr>
      <w:r w:rsidRPr="007F39AC">
        <w:rPr>
          <w:b/>
          <w:bCs/>
        </w:rPr>
        <w:t>3.6. Zrównoważony Rozwój</w:t>
      </w:r>
    </w:p>
    <w:p w:rsidR="007F39AC" w:rsidRPr="007F39AC" w:rsidRDefault="007F39AC" w:rsidP="007F39AC">
      <w:pPr>
        <w:pStyle w:val="Akapitzlist"/>
        <w:numPr>
          <w:ilvl w:val="0"/>
          <w:numId w:val="17"/>
        </w:numPr>
        <w:spacing w:line="259" w:lineRule="auto"/>
        <w:rPr>
          <w:rFonts w:ascii="Arial" w:hAnsi="Arial" w:cs="Arial"/>
        </w:rPr>
      </w:pPr>
      <w:r w:rsidRPr="007F39AC">
        <w:rPr>
          <w:rFonts w:ascii="Arial" w:hAnsi="Arial" w:cs="Arial"/>
        </w:rPr>
        <w:t xml:space="preserve">Ilość zredukowanych materiałów PVC użytych do budowy stoisk. W projekcie ograniczono ich użycie o 75% poprzez zastąpienie materiałami bardziej zrównoważonymi (np. płyty kartonowe, drewno z certyfikatem FSC). </w:t>
      </w:r>
    </w:p>
    <w:p w:rsidR="007F39AC" w:rsidRPr="007F39AC" w:rsidRDefault="007F39AC" w:rsidP="007F39AC">
      <w:pPr>
        <w:pStyle w:val="Akapitzlist"/>
        <w:numPr>
          <w:ilvl w:val="0"/>
          <w:numId w:val="17"/>
        </w:numPr>
        <w:spacing w:line="259" w:lineRule="auto"/>
        <w:rPr>
          <w:rFonts w:ascii="Arial" w:hAnsi="Arial" w:cs="Arial"/>
        </w:rPr>
      </w:pPr>
      <w:r w:rsidRPr="007F39AC">
        <w:rPr>
          <w:rFonts w:ascii="Arial" w:hAnsi="Arial" w:cs="Arial"/>
        </w:rPr>
        <w:t>Ilość materiałów pochodzących z recyklingu użytych do budowy stoisk odnosi się do kg materiałów pochodzących z recyklingu, które zostaną wykorzystane przy budowie stoisk targowych (np. materiały konstrukcyjne, dekoracje). Wylicza się  udział materiałów z recyklingu w stosunku do całkowitej ilości materiałów wykorzystanych przy budowie stoiska.</w:t>
      </w:r>
    </w:p>
    <w:p w:rsidR="007F39AC" w:rsidRPr="007F39AC" w:rsidRDefault="007F39AC" w:rsidP="007F39AC">
      <w:pPr>
        <w:pStyle w:val="Akapitzlist"/>
        <w:rPr>
          <w:rFonts w:ascii="Arial" w:hAnsi="Arial" w:cs="Arial"/>
        </w:rPr>
      </w:pPr>
      <w:r w:rsidRPr="007F39AC">
        <w:rPr>
          <w:rFonts w:ascii="Arial" w:hAnsi="Arial" w:cs="Arial"/>
        </w:rPr>
        <w:t>Przyjąć należy że wartością docelową jest 10kg materiałów z recyclingu.</w:t>
      </w:r>
    </w:p>
    <w:p w:rsidR="007F39AC" w:rsidRPr="007F39AC" w:rsidRDefault="007F39AC" w:rsidP="007F39AC">
      <w:pPr>
        <w:pStyle w:val="Akapitzlist"/>
        <w:numPr>
          <w:ilvl w:val="0"/>
          <w:numId w:val="17"/>
        </w:numPr>
        <w:spacing w:line="259" w:lineRule="auto"/>
        <w:rPr>
          <w:rFonts w:ascii="Arial" w:hAnsi="Arial" w:cs="Arial"/>
        </w:rPr>
      </w:pPr>
      <w:r w:rsidRPr="007F39AC">
        <w:rPr>
          <w:rFonts w:ascii="Arial" w:hAnsi="Arial" w:cs="Arial"/>
        </w:rPr>
        <w:t>Liczba elementów zabudowy stoiska ponownie wykorzystanych. Min 20 elementów</w:t>
      </w:r>
    </w:p>
    <w:p w:rsidR="007F39AC" w:rsidRPr="007F39AC" w:rsidRDefault="007F39AC" w:rsidP="007F39AC">
      <w:pPr>
        <w:pStyle w:val="Akapitzlist"/>
        <w:numPr>
          <w:ilvl w:val="0"/>
          <w:numId w:val="17"/>
        </w:numPr>
        <w:spacing w:line="259" w:lineRule="auto"/>
        <w:rPr>
          <w:rFonts w:ascii="Arial" w:hAnsi="Arial" w:cs="Arial"/>
        </w:rPr>
      </w:pPr>
      <w:r w:rsidRPr="007F39AC">
        <w:rPr>
          <w:rFonts w:ascii="Arial" w:hAnsi="Arial" w:cs="Arial"/>
        </w:rPr>
        <w:t>Liczba materiałów zidentyfikowanych jako źródła dużego oddziaływania na środowisko, które zostały zastąpione bardziej ekologicznymi odpowiednikami. Proces identyfikacji materiałów o dużym wpływie na środowisko zostanie udokumentowany w raportach projektowych. Zastąpienie materiałów PVC i MDF zostanie potwierdzone przez specyfikację materiałową dostarczoną przez wykonawcę stoiska. Wartość docelowa: 2 rodzaje materiałów (PVC i MDF) zastąpione materiałami przyjaznymi środowisku, takimi jak aluminium z recyklingu i drewno certyfikowane</w:t>
      </w:r>
    </w:p>
    <w:p w:rsidR="007F39AC" w:rsidRPr="007F39AC" w:rsidRDefault="007F39AC" w:rsidP="007F39AC">
      <w:pPr>
        <w:pStyle w:val="Akapitzlist"/>
        <w:numPr>
          <w:ilvl w:val="0"/>
          <w:numId w:val="17"/>
        </w:numPr>
        <w:spacing w:line="259" w:lineRule="auto"/>
        <w:rPr>
          <w:rFonts w:ascii="Arial" w:hAnsi="Arial" w:cs="Arial"/>
        </w:rPr>
      </w:pPr>
      <w:r w:rsidRPr="007F39AC">
        <w:rPr>
          <w:rFonts w:ascii="Arial" w:hAnsi="Arial" w:cs="Arial"/>
        </w:rPr>
        <w:t>We wszystkich wydarzeniach targowych należy wysłać gotowe do złożenia stoisko wystawiennicze. Do wszystkich stoisk stosuje się jedno i to samo opakowanie</w:t>
      </w: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4. Wytyczne dla Wykonania Stoisk</w:t>
      </w: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4.1. Konstrukcja</w:t>
      </w:r>
    </w:p>
    <w:p w:rsidR="006F6765" w:rsidRPr="0008261E" w:rsidRDefault="006F6765" w:rsidP="006F6765">
      <w:pPr>
        <w:numPr>
          <w:ilvl w:val="0"/>
          <w:numId w:val="5"/>
        </w:numPr>
        <w:spacing w:after="160" w:line="259" w:lineRule="auto"/>
      </w:pPr>
      <w:r w:rsidRPr="0008261E">
        <w:t>Stoisko musi być stabilne, zgodne z przepisami bezpieczeństwa i lokalnymi regulacjami budowlanymi.</w:t>
      </w:r>
    </w:p>
    <w:p w:rsidR="006F6765" w:rsidRPr="0008261E" w:rsidRDefault="006F6765" w:rsidP="006F6765">
      <w:pPr>
        <w:numPr>
          <w:ilvl w:val="0"/>
          <w:numId w:val="5"/>
        </w:numPr>
        <w:spacing w:after="160" w:line="259" w:lineRule="auto"/>
      </w:pPr>
      <w:r w:rsidRPr="0008261E">
        <w:t>Montaż i demontaż muszą być łatwe i szybkie, z uwzględnieniem możliwości przechowywania elementów do ponownego wykorzystania.</w:t>
      </w:r>
    </w:p>
    <w:p w:rsidR="006F6765" w:rsidRDefault="006F6765" w:rsidP="006F6765">
      <w:pPr>
        <w:rPr>
          <w:b/>
          <w:bCs/>
        </w:rPr>
      </w:pP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4.2. Obsługa Techniczna</w:t>
      </w:r>
    </w:p>
    <w:p w:rsidR="006F6765" w:rsidRPr="0008261E" w:rsidRDefault="006F6765" w:rsidP="006F6765">
      <w:pPr>
        <w:numPr>
          <w:ilvl w:val="0"/>
          <w:numId w:val="6"/>
        </w:numPr>
        <w:spacing w:after="160" w:line="259" w:lineRule="auto"/>
      </w:pPr>
      <w:r w:rsidRPr="0008261E">
        <w:lastRenderedPageBreak/>
        <w:t>Wykonawca zobowiązany jest do zapewnienia serwisu technicznego na miejscu wydarzenia, obejmującego:</w:t>
      </w:r>
    </w:p>
    <w:p w:rsidR="006F6765" w:rsidRPr="0008261E" w:rsidRDefault="006F6765" w:rsidP="006F6765">
      <w:pPr>
        <w:numPr>
          <w:ilvl w:val="1"/>
          <w:numId w:val="6"/>
        </w:numPr>
        <w:spacing w:after="160" w:line="259" w:lineRule="auto"/>
      </w:pPr>
      <w:r w:rsidRPr="0008261E">
        <w:t>Poprawność działania technologii multimedialnych.</w:t>
      </w:r>
    </w:p>
    <w:p w:rsidR="006F6765" w:rsidRDefault="006F6765" w:rsidP="006F6765">
      <w:pPr>
        <w:numPr>
          <w:ilvl w:val="1"/>
          <w:numId w:val="6"/>
        </w:numPr>
        <w:spacing w:after="160" w:line="259" w:lineRule="auto"/>
      </w:pPr>
      <w:r w:rsidRPr="0008261E">
        <w:t>Szybką reakcję na problemy związane z eksploatacją stoiska.</w:t>
      </w:r>
    </w:p>
    <w:p w:rsidR="006F6765" w:rsidRPr="0008261E" w:rsidRDefault="006F6765" w:rsidP="006F6765">
      <w:pPr>
        <w:numPr>
          <w:ilvl w:val="1"/>
          <w:numId w:val="6"/>
        </w:numPr>
        <w:spacing w:after="160" w:line="259" w:lineRule="auto"/>
      </w:pPr>
      <w:r>
        <w:t>Rozłożenie i ponowne złożenie stoiska wraz z nadaniem do Polski</w:t>
      </w: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4.3. Transport i Logistyka</w:t>
      </w:r>
    </w:p>
    <w:p w:rsidR="006F6765" w:rsidRPr="0008261E" w:rsidRDefault="006F6765" w:rsidP="006F6765">
      <w:pPr>
        <w:numPr>
          <w:ilvl w:val="0"/>
          <w:numId w:val="7"/>
        </w:numPr>
        <w:spacing w:after="160" w:line="259" w:lineRule="auto"/>
      </w:pPr>
      <w:r w:rsidRPr="0008261E">
        <w:t>Wykonawca odpowiedzialny za bezpieczny transport stoiska na miejsce targów.</w:t>
      </w:r>
    </w:p>
    <w:p w:rsidR="006F6765" w:rsidRPr="0008261E" w:rsidRDefault="006F6765" w:rsidP="006F6765">
      <w:pPr>
        <w:numPr>
          <w:ilvl w:val="0"/>
          <w:numId w:val="7"/>
        </w:numPr>
        <w:spacing w:after="160" w:line="259" w:lineRule="auto"/>
      </w:pPr>
      <w:r w:rsidRPr="0008261E">
        <w:t>Wymagane ubezpieczenie stoiska na czas transportu oraz wydarzenia.</w:t>
      </w:r>
    </w:p>
    <w:p w:rsidR="006F6765" w:rsidRDefault="006F6765" w:rsidP="006F6765">
      <w:pPr>
        <w:rPr>
          <w:b/>
          <w:bCs/>
        </w:rPr>
      </w:pPr>
    </w:p>
    <w:p w:rsidR="006F6765" w:rsidRPr="0008261E" w:rsidRDefault="006F6765" w:rsidP="006F6765">
      <w:pPr>
        <w:rPr>
          <w:b/>
          <w:bCs/>
        </w:rPr>
      </w:pPr>
      <w:r w:rsidRPr="0008261E">
        <w:rPr>
          <w:b/>
          <w:bCs/>
        </w:rPr>
        <w:t>4.4. Utylizacja</w:t>
      </w:r>
    </w:p>
    <w:p w:rsidR="006F6765" w:rsidRDefault="006F6765" w:rsidP="006F6765">
      <w:pPr>
        <w:numPr>
          <w:ilvl w:val="0"/>
          <w:numId w:val="8"/>
        </w:numPr>
        <w:spacing w:after="160" w:line="259" w:lineRule="auto"/>
      </w:pPr>
      <w:r w:rsidRPr="0008261E">
        <w:t>Po zakończeniu wydarzenia wykonawca zobowiązany jest do demontażu stoiska oraz utylizacji odpadów zgodnie z lokalnymi regulacjami.</w:t>
      </w:r>
    </w:p>
    <w:p w:rsidR="00A2099F" w:rsidRDefault="00A2099F" w:rsidP="00A2099F">
      <w:pPr>
        <w:spacing w:after="160" w:line="259" w:lineRule="auto"/>
      </w:pPr>
    </w:p>
    <w:p w:rsidR="007F39AC" w:rsidRDefault="007F39AC" w:rsidP="00A2099F">
      <w:pPr>
        <w:spacing w:after="160" w:line="259" w:lineRule="auto"/>
        <w:rPr>
          <w:b/>
        </w:rPr>
      </w:pPr>
    </w:p>
    <w:p w:rsidR="00A2099F" w:rsidRDefault="00A2099F" w:rsidP="007F39AC">
      <w:pPr>
        <w:spacing w:after="160" w:line="259" w:lineRule="auto"/>
        <w:jc w:val="both"/>
        <w:rPr>
          <w:b/>
          <w:sz w:val="40"/>
          <w:szCs w:val="40"/>
        </w:rPr>
      </w:pPr>
      <w:r w:rsidRPr="007F39AC">
        <w:rPr>
          <w:b/>
          <w:sz w:val="40"/>
          <w:szCs w:val="40"/>
        </w:rPr>
        <w:t xml:space="preserve">Każdy przedstawiony poniżej </w:t>
      </w:r>
      <w:proofErr w:type="spellStart"/>
      <w:r w:rsidRPr="007F39AC">
        <w:rPr>
          <w:b/>
          <w:sz w:val="40"/>
          <w:szCs w:val="40"/>
        </w:rPr>
        <w:t>render</w:t>
      </w:r>
      <w:proofErr w:type="spellEnd"/>
      <w:r w:rsidRPr="007F39AC">
        <w:rPr>
          <w:b/>
          <w:sz w:val="40"/>
          <w:szCs w:val="40"/>
        </w:rPr>
        <w:t xml:space="preserve"> stoiska odpowiada kolejno danemu wydarzeniu targowemu. Przedstawione PROJEKTY nie są docelowe. Mają jedynie służyć wycenie i ujednoliceniu wymogów oszacowania</w:t>
      </w:r>
      <w:r w:rsidR="007F39AC">
        <w:rPr>
          <w:b/>
          <w:sz w:val="40"/>
          <w:szCs w:val="40"/>
        </w:rPr>
        <w:t>.</w:t>
      </w:r>
    </w:p>
    <w:p w:rsidR="00E655CB" w:rsidRDefault="00F93217" w:rsidP="007F39AC">
      <w:pPr>
        <w:spacing w:after="160" w:line="259" w:lineRule="auto"/>
        <w:jc w:val="both"/>
        <w:rPr>
          <w:b/>
          <w:sz w:val="40"/>
          <w:szCs w:val="40"/>
        </w:rPr>
      </w:pPr>
      <w:r w:rsidRPr="00F93217">
        <w:rPr>
          <w:b/>
          <w:sz w:val="40"/>
          <w:szCs w:val="40"/>
        </w:rPr>
        <w:t xml:space="preserve">WAŻNE! </w:t>
      </w:r>
    </w:p>
    <w:p w:rsidR="00F93217" w:rsidRDefault="00F93217" w:rsidP="007F39AC">
      <w:pPr>
        <w:spacing w:after="160" w:line="259" w:lineRule="auto"/>
        <w:jc w:val="both"/>
        <w:rPr>
          <w:b/>
          <w:sz w:val="40"/>
          <w:szCs w:val="40"/>
        </w:rPr>
      </w:pPr>
      <w:r w:rsidRPr="00F93217">
        <w:rPr>
          <w:b/>
          <w:sz w:val="40"/>
          <w:szCs w:val="40"/>
        </w:rPr>
        <w:t xml:space="preserve">Pierwszym stoiskiem jest zabudowa do ISM </w:t>
      </w:r>
      <w:proofErr w:type="spellStart"/>
      <w:r w:rsidRPr="00F93217">
        <w:rPr>
          <w:b/>
          <w:sz w:val="40"/>
          <w:szCs w:val="40"/>
        </w:rPr>
        <w:t>Cologne</w:t>
      </w:r>
      <w:proofErr w:type="spellEnd"/>
      <w:r w:rsidRPr="00F93217">
        <w:rPr>
          <w:b/>
          <w:sz w:val="40"/>
          <w:szCs w:val="40"/>
        </w:rPr>
        <w:t>, Niemcy 2026. Stoisko to ma być podstawą do budowy następnych stoisk</w:t>
      </w:r>
    </w:p>
    <w:p w:rsidR="00E655CB" w:rsidRDefault="00E655CB" w:rsidP="007F39AC">
      <w:pPr>
        <w:spacing w:after="160" w:line="259" w:lineRule="auto"/>
        <w:jc w:val="both"/>
        <w:rPr>
          <w:b/>
          <w:sz w:val="40"/>
          <w:szCs w:val="40"/>
        </w:rPr>
      </w:pPr>
      <w:r>
        <w:rPr>
          <w:b/>
          <w:sz w:val="40"/>
          <w:szCs w:val="40"/>
        </w:rPr>
        <w:t>Dla każdej zabudowy stoiska bazą jest zabudowa poprzedzająca</w:t>
      </w:r>
    </w:p>
    <w:p w:rsidR="00E655CB" w:rsidRPr="00F93217" w:rsidRDefault="00E655CB" w:rsidP="007F39AC">
      <w:pPr>
        <w:spacing w:after="160" w:line="259" w:lineRule="auto"/>
        <w:jc w:val="both"/>
        <w:rPr>
          <w:b/>
          <w:sz w:val="40"/>
          <w:szCs w:val="40"/>
        </w:rPr>
      </w:pPr>
    </w:p>
    <w:p w:rsidR="006F6765" w:rsidRDefault="006F6765">
      <w:pPr>
        <w:pStyle w:val="normal"/>
        <w:rPr>
          <w:noProof/>
        </w:rPr>
      </w:pPr>
    </w:p>
    <w:p w:rsidR="006F6765" w:rsidRDefault="006F6765">
      <w:pPr>
        <w:pStyle w:val="normal"/>
        <w:rPr>
          <w:noProof/>
        </w:rPr>
      </w:pPr>
    </w:p>
    <w:p w:rsidR="006F6765" w:rsidRDefault="006F6765">
      <w:pPr>
        <w:pStyle w:val="normal"/>
        <w:rPr>
          <w:noProof/>
        </w:rPr>
      </w:pPr>
    </w:p>
    <w:p w:rsidR="006F6765" w:rsidRDefault="006F6765">
      <w:pPr>
        <w:pStyle w:val="normal"/>
        <w:rPr>
          <w:noProof/>
        </w:rPr>
      </w:pP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202592" cy="6279232"/>
            <wp:effectExtent l="19050" t="0" r="7708" b="0"/>
            <wp:docPr id="6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3577" cy="62802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199949" cy="5853746"/>
            <wp:effectExtent l="19050" t="0" r="0" b="0"/>
            <wp:docPr id="13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1331" cy="5855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260182" cy="7486980"/>
            <wp:effectExtent l="19050" t="0" r="7268" b="0"/>
            <wp:docPr id="16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60068" cy="74868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099524" cy="6160308"/>
            <wp:effectExtent l="19050" t="0" r="0" b="0"/>
            <wp:docPr id="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0834" cy="61616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217898" cy="6786645"/>
            <wp:effectExtent l="19050" t="0" r="0" b="0"/>
            <wp:docPr id="24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9024" cy="67878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112738" cy="7188347"/>
            <wp:effectExtent l="19050" t="0" r="2312" b="0"/>
            <wp:docPr id="5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3536" cy="71892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160308" cy="7225346"/>
            <wp:effectExtent l="19050" t="0" r="0" b="0"/>
            <wp:docPr id="1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62154" cy="72275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104809" cy="6398157"/>
            <wp:effectExtent l="19050" t="0" r="0" b="0"/>
            <wp:docPr id="18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6247" cy="63996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226377" cy="6868571"/>
            <wp:effectExtent l="19050" t="0" r="2973" b="0"/>
            <wp:docPr id="10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5344" cy="68674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162950" cy="6654506"/>
            <wp:effectExtent l="19050" t="0" r="9250" b="0"/>
            <wp:docPr id="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64509" cy="66561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289803" cy="7605905"/>
            <wp:effectExtent l="19050" t="0" r="0" b="0"/>
            <wp:docPr id="20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8118" cy="76038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266018" cy="6691505"/>
            <wp:effectExtent l="19050" t="0" r="1432" b="0"/>
            <wp:docPr id="4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66411" cy="66919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229020" cy="6638650"/>
            <wp:effectExtent l="19050" t="0" r="330" b="0"/>
            <wp:docPr id="25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30197" cy="663990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281875" cy="5866960"/>
            <wp:effectExtent l="19050" t="0" r="4625" b="0"/>
            <wp:docPr id="12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3541" cy="58685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051954" cy="7664046"/>
            <wp:effectExtent l="19050" t="0" r="5946" b="0"/>
            <wp:docPr id="1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53077" cy="76654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184092" cy="6205235"/>
            <wp:effectExtent l="19050" t="0" r="7158" b="0"/>
            <wp:docPr id="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3222" cy="62043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5925101" cy="6451013"/>
            <wp:effectExtent l="19050" t="0" r="0" b="0"/>
            <wp:docPr id="22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5066" cy="645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239591" cy="6165593"/>
            <wp:effectExtent l="19050" t="0" r="8809" b="0"/>
            <wp:docPr id="23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0635" cy="6166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6083667" cy="6577866"/>
            <wp:effectExtent l="19050" t="0" r="0" b="0"/>
            <wp:docPr id="3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3546" cy="65777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014955" cy="8105390"/>
            <wp:effectExtent l="19050" t="0" r="4845" b="0"/>
            <wp:docPr id="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4685" cy="81050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>
            <wp:extent cx="5946243" cy="7930966"/>
            <wp:effectExtent l="19050" t="0" r="0" b="0"/>
            <wp:docPr id="1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6944" cy="79319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</w:p>
    <w:p w:rsidR="008C6F8D" w:rsidRDefault="008C6F8D">
      <w:pPr>
        <w:pStyle w:val="normal"/>
      </w:pP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6030812" cy="7457910"/>
            <wp:effectExtent l="19050" t="0" r="8038" b="0"/>
            <wp:docPr id="1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2619" cy="74601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</w:p>
    <w:p w:rsidR="008C6F8D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951528" cy="6432513"/>
            <wp:effectExtent l="19050" t="0" r="0" b="0"/>
            <wp:docPr id="21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2806" cy="64338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</w:p>
    <w:p w:rsidR="008C6F8D" w:rsidRDefault="008C6F8D">
      <w:pPr>
        <w:pStyle w:val="normal"/>
      </w:pPr>
    </w:p>
    <w:p w:rsidR="008C6F8D" w:rsidRDefault="008C6F8D">
      <w:pPr>
        <w:pStyle w:val="normal"/>
      </w:pPr>
    </w:p>
    <w:p w:rsidR="00095541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753320" cy="6234305"/>
            <wp:effectExtent l="19050" t="0" r="0" b="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4343" cy="62354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8C6F8D" w:rsidRDefault="008C6F8D">
      <w:pPr>
        <w:pStyle w:val="normal"/>
      </w:pPr>
    </w:p>
    <w:p w:rsidR="008C6F8D" w:rsidRDefault="008C6F8D">
      <w:pPr>
        <w:pStyle w:val="normal"/>
      </w:pPr>
    </w:p>
    <w:p w:rsidR="00095541" w:rsidRDefault="008C6F8D">
      <w:pPr>
        <w:pStyle w:val="normal"/>
      </w:pPr>
      <w:r>
        <w:rPr>
          <w:noProof/>
        </w:rPr>
        <w:lastRenderedPageBreak/>
        <w:drawing>
          <wp:inline distT="114300" distB="114300" distL="114300" distR="114300">
            <wp:extent cx="5914529" cy="5940957"/>
            <wp:effectExtent l="1905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14903" cy="59413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095541" w:rsidSect="0009554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7B25" w:rsidRDefault="00D87B25" w:rsidP="00EE7FEA">
      <w:pPr>
        <w:spacing w:line="240" w:lineRule="auto"/>
      </w:pPr>
      <w:r>
        <w:separator/>
      </w:r>
    </w:p>
  </w:endnote>
  <w:endnote w:type="continuationSeparator" w:id="0">
    <w:p w:rsidR="00D87B25" w:rsidRDefault="00D87B25" w:rsidP="00EE7FE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4B572320-E234-4F0E-8EEC-10D10DC3C20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E9061ED2-872B-4639-BBA3-4F694545DB42}"/>
    <w:embedBold r:id="rId3" w:fontKey="{A99E727C-3381-4B8C-B1AB-5D707A1C439B}"/>
    <w:embedItalic r:id="rId4" w:fontKey="{F555C1EE-7248-41D7-8635-47328AEC46C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2CDC3774-9E3E-4B82-A484-7226D72E8C9F}"/>
    <w:embedBold r:id="rId6" w:fontKey="{951A3EE3-906D-48C3-9B65-7F74DDC3103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7FEA" w:rsidRDefault="00EE7FEA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7FEA" w:rsidRDefault="00EE7FEA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7FEA" w:rsidRDefault="00EE7FEA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7B25" w:rsidRDefault="00D87B25" w:rsidP="00EE7FEA">
      <w:pPr>
        <w:spacing w:line="240" w:lineRule="auto"/>
      </w:pPr>
      <w:r>
        <w:separator/>
      </w:r>
    </w:p>
  </w:footnote>
  <w:footnote w:type="continuationSeparator" w:id="0">
    <w:p w:rsidR="00D87B25" w:rsidRDefault="00D87B25" w:rsidP="00EE7FEA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7FEA" w:rsidRDefault="00EE7FEA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7FEA" w:rsidRDefault="00EE7FEA">
    <w:pPr>
      <w:pStyle w:val="Nagwek"/>
    </w:pPr>
    <w:r w:rsidRPr="00EE7FEA">
      <w:drawing>
        <wp:inline distT="0" distB="0" distL="0" distR="0">
          <wp:extent cx="5486400" cy="495300"/>
          <wp:effectExtent l="0" t="0" r="0" b="0"/>
          <wp:docPr id="1191781477" name="Obraz 1191781477" descr="Fundusze Europejskie dla Nowoczesnej Gospodarki; Rzeczpospolita Polska; Dofinansowane przez Unię Ueropejską. PARP, Grupa P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4_nowoczesna_gospodarka_kolo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40267" cy="500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7FEA" w:rsidRDefault="00EE7FEA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E4D8F"/>
    <w:multiLevelType w:val="multilevel"/>
    <w:tmpl w:val="654ED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A00F68"/>
    <w:multiLevelType w:val="multilevel"/>
    <w:tmpl w:val="69AA0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57602A"/>
    <w:multiLevelType w:val="multilevel"/>
    <w:tmpl w:val="E7309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676D15"/>
    <w:multiLevelType w:val="multilevel"/>
    <w:tmpl w:val="0046B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52C614F"/>
    <w:multiLevelType w:val="multilevel"/>
    <w:tmpl w:val="B1B87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B734A23"/>
    <w:multiLevelType w:val="multilevel"/>
    <w:tmpl w:val="AF68A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E816AF"/>
    <w:multiLevelType w:val="multilevel"/>
    <w:tmpl w:val="FA24F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9F4F77"/>
    <w:multiLevelType w:val="multilevel"/>
    <w:tmpl w:val="B464EDD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8">
    <w:nsid w:val="45CE24F2"/>
    <w:multiLevelType w:val="hybridMultilevel"/>
    <w:tmpl w:val="F97EE9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B745C8D"/>
    <w:multiLevelType w:val="multilevel"/>
    <w:tmpl w:val="89864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D89483B"/>
    <w:multiLevelType w:val="multilevel"/>
    <w:tmpl w:val="7B8C4E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25B389F"/>
    <w:multiLevelType w:val="multilevel"/>
    <w:tmpl w:val="F934E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3856639"/>
    <w:multiLevelType w:val="multilevel"/>
    <w:tmpl w:val="C13CCD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5EB68FB"/>
    <w:multiLevelType w:val="multilevel"/>
    <w:tmpl w:val="83141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C4347D6"/>
    <w:multiLevelType w:val="multilevel"/>
    <w:tmpl w:val="2CFAF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E550879"/>
    <w:multiLevelType w:val="multilevel"/>
    <w:tmpl w:val="678CD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8831943"/>
    <w:multiLevelType w:val="multilevel"/>
    <w:tmpl w:val="ACFE0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14"/>
  </w:num>
  <w:num w:numId="4">
    <w:abstractNumId w:val="0"/>
  </w:num>
  <w:num w:numId="5">
    <w:abstractNumId w:val="16"/>
  </w:num>
  <w:num w:numId="6">
    <w:abstractNumId w:val="2"/>
  </w:num>
  <w:num w:numId="7">
    <w:abstractNumId w:val="10"/>
  </w:num>
  <w:num w:numId="8">
    <w:abstractNumId w:val="9"/>
  </w:num>
  <w:num w:numId="9">
    <w:abstractNumId w:val="13"/>
  </w:num>
  <w:num w:numId="10">
    <w:abstractNumId w:val="11"/>
  </w:num>
  <w:num w:numId="11">
    <w:abstractNumId w:val="5"/>
  </w:num>
  <w:num w:numId="12">
    <w:abstractNumId w:val="15"/>
  </w:num>
  <w:num w:numId="13">
    <w:abstractNumId w:val="6"/>
  </w:num>
  <w:num w:numId="14">
    <w:abstractNumId w:val="4"/>
  </w:num>
  <w:num w:numId="15">
    <w:abstractNumId w:val="12"/>
  </w:num>
  <w:num w:numId="16">
    <w:abstractNumId w:val="7"/>
  </w:num>
  <w:num w:numId="1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5541"/>
    <w:rsid w:val="00067630"/>
    <w:rsid w:val="00072B7D"/>
    <w:rsid w:val="00095541"/>
    <w:rsid w:val="00124CFA"/>
    <w:rsid w:val="001D213A"/>
    <w:rsid w:val="00535BBF"/>
    <w:rsid w:val="006F6765"/>
    <w:rsid w:val="00767315"/>
    <w:rsid w:val="007F39AC"/>
    <w:rsid w:val="00890578"/>
    <w:rsid w:val="008C6F8D"/>
    <w:rsid w:val="00911B44"/>
    <w:rsid w:val="00A2099F"/>
    <w:rsid w:val="00D87B25"/>
    <w:rsid w:val="00E655CB"/>
    <w:rsid w:val="00EE7FEA"/>
    <w:rsid w:val="00F93217"/>
    <w:rsid w:val="00F97B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11B44"/>
  </w:style>
  <w:style w:type="paragraph" w:styleId="Nagwek1">
    <w:name w:val="heading 1"/>
    <w:basedOn w:val="normal"/>
    <w:next w:val="normal"/>
    <w:rsid w:val="00095541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"/>
    <w:next w:val="normal"/>
    <w:rsid w:val="00095541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"/>
    <w:next w:val="normal"/>
    <w:rsid w:val="00095541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"/>
    <w:next w:val="normal"/>
    <w:rsid w:val="00095541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"/>
    <w:next w:val="normal"/>
    <w:rsid w:val="00095541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"/>
    <w:next w:val="normal"/>
    <w:rsid w:val="00095541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09554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095541"/>
  </w:style>
  <w:style w:type="paragraph" w:styleId="Tytu">
    <w:name w:val="Title"/>
    <w:basedOn w:val="normal"/>
    <w:next w:val="normal"/>
    <w:rsid w:val="00095541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"/>
    <w:next w:val="normal"/>
    <w:rsid w:val="00095541"/>
    <w:pPr>
      <w:keepNext/>
      <w:keepLines/>
      <w:spacing w:after="320"/>
    </w:pPr>
    <w:rPr>
      <w:color w:val="666666"/>
      <w:sz w:val="30"/>
      <w:szCs w:val="3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C6F8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C6F8D"/>
    <w:rPr>
      <w:rFonts w:ascii="Tahoma" w:hAnsi="Tahoma" w:cs="Tahoma"/>
      <w:sz w:val="16"/>
      <w:szCs w:val="16"/>
    </w:rPr>
  </w:style>
  <w:style w:type="character" w:styleId="Pogrubienie">
    <w:name w:val="Strong"/>
    <w:basedOn w:val="Domylnaczcionkaakapitu"/>
    <w:uiPriority w:val="22"/>
    <w:qFormat/>
    <w:rsid w:val="006F6765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6F67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6F6765"/>
    <w:rPr>
      <w:i/>
      <w:iCs/>
    </w:rPr>
  </w:style>
  <w:style w:type="paragraph" w:styleId="Akapitzlist">
    <w:name w:val="List Paragraph"/>
    <w:basedOn w:val="Normalny"/>
    <w:uiPriority w:val="34"/>
    <w:qFormat/>
    <w:rsid w:val="006F6765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</w:rPr>
  </w:style>
  <w:style w:type="paragraph" w:styleId="Nagwek">
    <w:name w:val="header"/>
    <w:basedOn w:val="Normalny"/>
    <w:link w:val="NagwekZnak"/>
    <w:uiPriority w:val="99"/>
    <w:semiHidden/>
    <w:unhideWhenUsed/>
    <w:rsid w:val="00EE7FEA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EE7FEA"/>
  </w:style>
  <w:style w:type="paragraph" w:styleId="Stopka">
    <w:name w:val="footer"/>
    <w:basedOn w:val="Normalny"/>
    <w:link w:val="StopkaZnak"/>
    <w:uiPriority w:val="99"/>
    <w:semiHidden/>
    <w:unhideWhenUsed/>
    <w:rsid w:val="00EE7FEA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EE7FEA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31</Pages>
  <Words>1673</Words>
  <Characters>10038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arek grzeszczak</cp:lastModifiedBy>
  <cp:revision>10</cp:revision>
  <cp:lastPrinted>2025-12-28T20:44:00Z</cp:lastPrinted>
  <dcterms:created xsi:type="dcterms:W3CDTF">2025-12-27T21:56:00Z</dcterms:created>
  <dcterms:modified xsi:type="dcterms:W3CDTF">2026-03-09T14:04:00Z</dcterms:modified>
</cp:coreProperties>
</file>